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A338C9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A338C9">
        <w:rPr>
          <w:rFonts w:ascii="Arial" w:hAnsi="Arial" w:cs="Arial"/>
        </w:rPr>
        <w:t>09</w:t>
      </w:r>
      <w:r w:rsidR="00BD6BAE">
        <w:rPr>
          <w:rFonts w:ascii="Arial" w:hAnsi="Arial" w:cs="Arial"/>
        </w:rPr>
        <w:t>:00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338C9">
        <w:rPr>
          <w:rFonts w:ascii="Arial" w:hAnsi="Arial" w:cs="Arial"/>
          <w:b/>
        </w:rPr>
        <w:t>AQUISIÇÃO DE MATERIAIS E PRODUTOS, SERVIÇO DE MÃO DE OBRA E DESLOCAMENTO PARA A REVISÃO DA MOTONIVELADORA CASE</w:t>
      </w:r>
      <w:bookmarkStart w:id="0" w:name="_GoBack"/>
      <w:bookmarkEnd w:id="0"/>
      <w:r w:rsidR="00BD6BAE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58</cp:revision>
  <cp:lastPrinted>2023-03-29T12:24:00Z</cp:lastPrinted>
  <dcterms:created xsi:type="dcterms:W3CDTF">2019-06-05T14:07:00Z</dcterms:created>
  <dcterms:modified xsi:type="dcterms:W3CDTF">2023-03-29T12:24:00Z</dcterms:modified>
</cp:coreProperties>
</file>