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5C308F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365DA">
        <w:rPr>
          <w:rFonts w:ascii="Arial" w:hAnsi="Arial" w:cs="Arial"/>
        </w:rPr>
        <w:t>30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5C308F">
        <w:rPr>
          <w:rFonts w:ascii="Arial" w:hAnsi="Arial" w:cs="Arial"/>
        </w:rPr>
        <w:t>13:20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5C308F" w:rsidRPr="005C308F">
        <w:rPr>
          <w:rFonts w:ascii="Arial" w:hAnsi="Arial" w:cs="Arial"/>
          <w:b/>
        </w:rPr>
        <w:t>CONTRATAÇÃO DE EMPRESA PARA MANUTENÇÃO DE AR CONDICIONADO DAS ESCOLAS MUNICIPAIS E SECRETARIA DE EDUCAÇÃO</w:t>
      </w:r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65DA">
        <w:rPr>
          <w:rFonts w:ascii="Arial" w:hAnsi="Arial" w:cs="Arial"/>
        </w:rPr>
        <w:t>30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F60B-A660-4018-95AA-868F958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63</cp:revision>
  <cp:lastPrinted>2023-03-30T11:34:00Z</cp:lastPrinted>
  <dcterms:created xsi:type="dcterms:W3CDTF">2019-06-05T14:07:00Z</dcterms:created>
  <dcterms:modified xsi:type="dcterms:W3CDTF">2023-03-30T17:03:00Z</dcterms:modified>
</cp:coreProperties>
</file>