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AB" w:rsidRDefault="00496FAB" w:rsidP="00496FAB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496FAB" w:rsidRDefault="00496FAB" w:rsidP="00496FA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119</w:t>
      </w:r>
      <w:r>
        <w:rPr>
          <w:rFonts w:ascii="Arial" w:hAnsi="Arial" w:cs="Arial"/>
          <w:b/>
          <w:sz w:val="23"/>
          <w:szCs w:val="23"/>
        </w:rPr>
        <w:t>/2024</w:t>
      </w:r>
    </w:p>
    <w:p w:rsidR="00496FAB" w:rsidRDefault="00496FAB" w:rsidP="00496FAB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</w:t>
      </w:r>
      <w:r>
        <w:rPr>
          <w:rFonts w:ascii="Arial" w:hAnsi="Arial" w:cs="Arial"/>
          <w:b/>
          <w:sz w:val="23"/>
          <w:szCs w:val="23"/>
        </w:rPr>
        <w:t>E A EMPRESA DESTAK MOVEIS PLANEJADOS LTDA.</w:t>
      </w:r>
    </w:p>
    <w:p w:rsidR="001175DE" w:rsidRPr="00496FAB" w:rsidRDefault="00496FAB" w:rsidP="00106E1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="00B755D6">
        <w:rPr>
          <w:rFonts w:ascii="Arial" w:hAnsi="Arial" w:cs="Arial"/>
          <w:b/>
          <w:sz w:val="23"/>
          <w:szCs w:val="23"/>
        </w:rPr>
        <w:t xml:space="preserve"> DESTAK MOVEIS PLANEJADOS LTDA</w:t>
      </w:r>
      <w:r w:rsidR="00DF15CF">
        <w:rPr>
          <w:rFonts w:ascii="Arial" w:hAnsi="Arial" w:cs="Arial"/>
          <w:b/>
          <w:sz w:val="23"/>
          <w:szCs w:val="23"/>
        </w:rPr>
        <w:t>, CNPJ 41.038.800/0001-89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DF15CF">
        <w:rPr>
          <w:rFonts w:ascii="Arial" w:hAnsi="Arial" w:cs="Arial"/>
          <w:sz w:val="23"/>
          <w:szCs w:val="23"/>
        </w:rPr>
        <w:t>com sede na cidade de Lajeado do Bugre - RS</w:t>
      </w:r>
      <w:r>
        <w:rPr>
          <w:rFonts w:ascii="Arial" w:hAnsi="Arial" w:cs="Arial"/>
          <w:b/>
          <w:sz w:val="23"/>
          <w:szCs w:val="23"/>
        </w:rPr>
        <w:t>,</w:t>
      </w:r>
      <w:r w:rsidR="00DF15CF">
        <w:rPr>
          <w:rFonts w:ascii="Arial" w:hAnsi="Arial" w:cs="Arial"/>
          <w:sz w:val="23"/>
          <w:szCs w:val="23"/>
        </w:rPr>
        <w:t xml:space="preserve"> na Rua Francisco Luiz </w:t>
      </w:r>
      <w:proofErr w:type="spellStart"/>
      <w:r w:rsidR="00DF15CF">
        <w:rPr>
          <w:rFonts w:ascii="Arial" w:hAnsi="Arial" w:cs="Arial"/>
          <w:sz w:val="23"/>
          <w:szCs w:val="23"/>
        </w:rPr>
        <w:t>Cardonal</w:t>
      </w:r>
      <w:proofErr w:type="spellEnd"/>
      <w:r w:rsidR="00DF15CF">
        <w:rPr>
          <w:rFonts w:ascii="Arial" w:hAnsi="Arial" w:cs="Arial"/>
          <w:sz w:val="23"/>
          <w:szCs w:val="23"/>
        </w:rPr>
        <w:t>, nº 953,</w:t>
      </w:r>
      <w:r>
        <w:rPr>
          <w:rFonts w:ascii="Arial" w:hAnsi="Arial" w:cs="Arial"/>
          <w:sz w:val="23"/>
          <w:szCs w:val="23"/>
        </w:rPr>
        <w:t xml:space="preserve"> Centro, inscrita no CNPJ/MF sob nº </w:t>
      </w:r>
      <w:r w:rsidR="00DF15CF">
        <w:rPr>
          <w:rFonts w:ascii="Arial" w:hAnsi="Arial" w:cs="Arial"/>
          <w:b/>
          <w:sz w:val="23"/>
          <w:szCs w:val="23"/>
        </w:rPr>
        <w:t>41.038.800/0001-89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mediante ao Processo Licita</w:t>
      </w:r>
      <w:r w:rsidR="00DF15CF">
        <w:rPr>
          <w:rFonts w:ascii="Arial" w:hAnsi="Arial" w:cs="Arial"/>
          <w:sz w:val="23"/>
          <w:szCs w:val="23"/>
        </w:rPr>
        <w:t>tório n°88</w:t>
      </w:r>
      <w:r>
        <w:rPr>
          <w:rFonts w:ascii="Arial" w:hAnsi="Arial" w:cs="Arial"/>
          <w:sz w:val="23"/>
          <w:szCs w:val="23"/>
        </w:rPr>
        <w:t>/</w:t>
      </w:r>
      <w:r w:rsidR="00DF15CF">
        <w:rPr>
          <w:rFonts w:ascii="Arial" w:hAnsi="Arial" w:cs="Arial"/>
          <w:sz w:val="23"/>
          <w:szCs w:val="23"/>
        </w:rPr>
        <w:t>2024, Dispensa Licitatória n° 105</w:t>
      </w:r>
      <w:r>
        <w:rPr>
          <w:rFonts w:ascii="Arial" w:hAnsi="Arial" w:cs="Arial"/>
          <w:sz w:val="23"/>
          <w:szCs w:val="23"/>
        </w:rPr>
        <w:t>/2024, as seguintes cláusulas e condições</w:t>
      </w: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PRIMEIRA – DO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OBJETO</w:t>
      </w:r>
    </w:p>
    <w:p w:rsidR="00FB155F" w:rsidRDefault="00FB155F" w:rsidP="00FB155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sz w:val="24"/>
          <w:szCs w:val="24"/>
        </w:rPr>
        <w:t>Compra de Eletrodomésticos e equiparmos a cozinha para Assistência social e o CRAS</w:t>
      </w:r>
      <w:r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, sendo que o vencedor do processo de licitação deverão dar os equipamentos instalados, devera está incluso a sua instalação e o devido funcionamento e a compra será efetuada conforme demanda.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entrega técnica será dando quando a entrega e instalação dos itens que deverão ser executados pelo vendedor. </w:t>
      </w:r>
    </w:p>
    <w:p w:rsidR="00FD202D" w:rsidRDefault="00FD202D" w:rsidP="00FB155F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tbl>
      <w:tblPr>
        <w:tblW w:w="8709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906"/>
        <w:gridCol w:w="1197"/>
        <w:gridCol w:w="3402"/>
        <w:gridCol w:w="2551"/>
      </w:tblGrid>
      <w:tr w:rsidR="002165FE" w:rsidTr="002165FE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Quantidade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Unidade de Medida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Descrição / Especificação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FE" w:rsidRDefault="002165F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Valor total item </w:t>
            </w:r>
          </w:p>
        </w:tc>
      </w:tr>
      <w:tr w:rsidR="002165FE" w:rsidTr="002165FE">
        <w:trPr>
          <w:trHeight w:hRule="exact" w:val="4165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BATEDEIRA PLANETARIA OSTER DIGITAL EM INOX DE MINIMO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5 L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 1000 W, DISPLY DUGITAL COM TIMER COM 8  VELOCIDADES + Pulsar, BOWL INOX de 5 litros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antirrespingo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, COM 3 BATEDORES DE MASSA, 220V.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R$ 2.160,00</w:t>
            </w:r>
          </w:p>
        </w:tc>
      </w:tr>
      <w:tr w:rsidR="002165FE" w:rsidTr="002165FE">
        <w:trPr>
          <w:trHeight w:hRule="exact" w:val="5756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Purificador de Água Gelada Fria e Natural Elétrico Compacto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Eletronicorefil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12 meses ou 3000l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lampada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UV Painel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Touch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Bivolt, Filtro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Acqua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Clean, Filtro com Luz UV: responsável por matar 99% dos germes e bactérias contidos na água, painel Blue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Touch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sensível ao toque, Três temperaturas de água: natural, fria ou gelada, equipamento com registro no INMETRO,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220V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R$ 1.780,00</w:t>
            </w:r>
          </w:p>
        </w:tc>
      </w:tr>
      <w:tr w:rsidR="002165FE" w:rsidTr="002165FE">
        <w:trPr>
          <w:trHeight w:hRule="exact" w:val="3623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  <w:p w:rsidR="002165FE" w:rsidRDefault="002165F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Cafeteira Automática em Inox, capacidade mínima 600 mililitros, material aço inoxidável, Autosserviço, alças laterais, tampa com trava, corpo em aço inox, com registro no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inmetro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, de 1000 w 220v.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R$ 589,00</w:t>
            </w:r>
          </w:p>
        </w:tc>
      </w:tr>
      <w:tr w:rsidR="002165FE" w:rsidTr="002165FE">
        <w:trPr>
          <w:trHeight w:hRule="exact" w:val="61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Chapa para Lanche Profissional 100 cm à Gás, Queimadores tubulares, Chapa de fritura inteiriça com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minimo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6,35 mm de espessura, Acabamento externo em aço inox, Gaveta móvel com bandeja, Queimadores com acendimento individual, Gaveta coletora de gordura, Dimensões mínimas do Produto Altura 23 cm Largura 100 cm Comprimento 53 cm.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R$ 1.450,00</w:t>
            </w:r>
          </w:p>
        </w:tc>
      </w:tr>
      <w:tr w:rsidR="002165FE" w:rsidTr="002165FE">
        <w:trPr>
          <w:trHeight w:hRule="exact" w:val="3764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5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Extrator de Suco Aço Inox 0,5 CV Bivolt, frequência, 60hz, com as seguintes características mínimas de altura 380 mm largura 250 mm profundidade 200 mm peso liquido 6 kg peso bruto 7 kg produção 15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pc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/min 1750 rpm.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R$ 918,00</w:t>
            </w:r>
          </w:p>
        </w:tc>
      </w:tr>
      <w:tr w:rsidR="002165FE" w:rsidTr="002165FE">
        <w:trPr>
          <w:trHeight w:hRule="exact" w:val="6884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6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SUGGAR DEPURADOR DE AR SLIM DE EMBUTIR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80CM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FRONTAL INOX 220V, com as seguintes dimensão mínimas Dimensões de 30P x 80L x 17,6A centímetros, filtro de carvão ativado, elimina odores indesejados, baixo consumo de energia 0,12kwh, Muito mais silencioso, 3 velocidades, Telas em alumínio lavável, eliminam gordura e fumaça, Dupla filtragem Tela deslizante, Dupla função: coifa e depurador.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R$ 890,00</w:t>
            </w:r>
          </w:p>
        </w:tc>
      </w:tr>
      <w:tr w:rsidR="002165FE" w:rsidTr="002165FE">
        <w:trPr>
          <w:trHeight w:hRule="exact" w:val="404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7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Micro-ondas cor cinza mínimo 32 litros, 220 v, Dimensões mínima do produto 39,1P x 53,8L x 30,1A centímetros, com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Painel Integrado, Com o Menu Gourmet, Eficiência ‎A+, tipo de instalação ‎Na bancada, Potência em watts ‎900 watts, Tipo de material ‎alumínio.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R$ 2.550,00</w:t>
            </w:r>
          </w:p>
        </w:tc>
      </w:tr>
      <w:tr w:rsidR="002165FE" w:rsidTr="002165FE">
        <w:trPr>
          <w:trHeight w:hRule="exact" w:val="6600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FORNO ELÉTRICO BANCADA TURBO 2.4 NEW 48L AÇO PINTADO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220V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Dimensões do produto 65P x 61,8L x 41,4A centímetros, Funções: Turbo; Turbo Mais; Dourar/Gratinar, Revestimento do corpo interno em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easy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clean preto (esmalte protetor especial que facilita a limpeza), Puxador fabricado em alumínio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anodizado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escovado Porta com vidro duplo, Controle automático de temperatura 50°C a 300°C.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R$ 2.340,00</w:t>
            </w:r>
          </w:p>
        </w:tc>
      </w:tr>
      <w:tr w:rsidR="002165FE" w:rsidTr="002165FE">
        <w:trPr>
          <w:trHeight w:hRule="exact" w:val="673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9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Fritadeira Elétrica a Óleo 18 Litros de Mesa, equipamento Certificado pela OCP 0070 conforme Portaria 148/2022,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Normas especificas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: ABNT NBR IEC 60335-1 / ABNT NBR IEC 60335-2-37, GFAO18M-5500W, 220 V, Fabricado externamente em aço inox escovado 430, tanque em aço inox 304, Painel removível com, resistências blindadas em aço inox, Proteção das resistências e do bulbo do termostato em aço inox ,Termostato para controle de temperatura, termostato de segurança, lâmpada piloto que indica o funcionamento da resistências;</w:t>
            </w: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Válvula esfera para escoamento do óleo.</w:t>
            </w: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Capacidade: 18 litros - 15 litros de óleo | 3 litros de água | 0,5 kg de sal grosso; Capacidade do cesto: 600-700g cada;</w:t>
            </w: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Potência: 5500 W; dimensões (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AxLxC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): 44 x 40,5 x 45,4 cm.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R$ 2.340,00</w:t>
            </w:r>
          </w:p>
        </w:tc>
      </w:tr>
      <w:tr w:rsidR="002165FE" w:rsidTr="002165FE">
        <w:trPr>
          <w:trHeight w:hRule="exact" w:val="2200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Liquidificador industrial 2 Litros Alta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Rotação motor potente de 2 HP e lâminas em aço inoxidável de alta performance, Velocidade: Alta rotação (até 22.000 RPM), Material do copo: Aço inoxidável, Dimensões mínimas 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LxAxP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): 21 x 46 x 23 cm tampa com trava de segurança e pés antiderrapantes,  220 V.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R$ 970,00</w:t>
            </w:r>
          </w:p>
        </w:tc>
      </w:tr>
      <w:tr w:rsidR="002165FE" w:rsidTr="002165FE">
        <w:trPr>
          <w:trHeight w:hRule="exact" w:val="6886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Máquina De Costura Reta, Portátil,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220v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Mecânica, Trabalha com 22 pontos diferentes, Faz 1100 pontos por minuto, Comprimento e largura do ponto ajustável, Tipos de pontos: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botoneira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Com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caseador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automático. Tem um cortador de linha. Tem passa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linha automático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. Tem iluminação na área de costura. Com função de retrocesso. Conta com braço livre. Estrutura interna de metal. Tipo de fonte de alimentação: corrente elétrica.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R$ 9.480,00</w:t>
            </w:r>
          </w:p>
        </w:tc>
      </w:tr>
      <w:tr w:rsidR="002165FE" w:rsidTr="002165FE">
        <w:trPr>
          <w:trHeight w:hRule="exact" w:val="3056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Tanquinho mínimo de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8kg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, 220V, cor preta, 3 NÍVEIS DE ÁGUA, Filtro de Fiapos por Coluna da Água 4 Programas de Lavagem com Indicações do Tempo de Lavagem e as Peças Ideais.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596EE4">
              <w:rPr>
                <w:rFonts w:ascii="Arial" w:hAnsi="Arial" w:cs="Arial"/>
                <w:color w:val="000000"/>
                <w:sz w:val="24"/>
                <w:szCs w:val="24"/>
              </w:rPr>
              <w:t>$ 810,00</w:t>
            </w:r>
          </w:p>
        </w:tc>
      </w:tr>
      <w:tr w:rsidR="002165FE" w:rsidTr="002165FE">
        <w:trPr>
          <w:trHeight w:hRule="exact" w:val="957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Televisão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Smart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TV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QLED 43"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4K,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Alexa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built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in, Mini Led, Processador com IA, Taxa de atualização Até 144 Hz, Características especiais Plana, Som em Movimento Plus, ela sem limites, Design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NeoSlim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Alexa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built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in, Dolby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Atmos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Interface do hardware ‎Bluetooth, USB, HDMI, Peças para montagem ‎Cabo, manuais, controle, Proporção da tela ‎16:9, Resolução ‎3840 x 2160 Pixels, Potência de saída em Watts ‎20 Watts, 220v, Etiqueta Nacional de Eficiência Energética (ENCE) ‎A, Tecnologia de conexão ‎Bluetooth,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Wi-fi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, Ethernet, HDMI. Garantia do fabricante ‎1 ano com o fabricante.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R$ 5.960,00</w:t>
            </w:r>
          </w:p>
        </w:tc>
      </w:tr>
      <w:tr w:rsidR="002165FE" w:rsidTr="002165FE">
        <w:trPr>
          <w:trHeight w:hRule="exact" w:val="3340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Cadeira Escritório Presidente, Preta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Comfort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Dimensões do produto 52P x 52L x 120A centímetros, Tamanho 52P x 52L x 120A cm, características especiais Altura ajustável, Rodinhas, Apoio, Altura ajustável.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R$ 3.175,00</w:t>
            </w:r>
          </w:p>
        </w:tc>
      </w:tr>
      <w:tr w:rsidR="002165FE" w:rsidTr="002165FE">
        <w:trPr>
          <w:trHeight w:hRule="exact" w:val="221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Fogão Industrial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Bocas 30x30 Com Forno, Tipo de porta do forno: Cega, Fogão de chão, a Gás, Com válvulas de segurança, Altura, 0.8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R$ 2.200,00</w:t>
            </w:r>
          </w:p>
        </w:tc>
      </w:tr>
      <w:tr w:rsidR="002165FE" w:rsidTr="002165FE">
        <w:trPr>
          <w:trHeight w:hRule="exact" w:val="3476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Máquina de Lavar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17kg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, Cesto Inox, Características especiais Alta eficiência, SISTEMA DE LAVAGEM COM CICLOS RÁPIDOS, FUNÇÃO LIMPEZA DE CESTO, Eficiência ‎A, cora branca, Voltagem ‎220 Volts.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R$ 3.230,00</w:t>
            </w:r>
          </w:p>
        </w:tc>
      </w:tr>
      <w:tr w:rsidR="002165FE" w:rsidTr="002165FE">
        <w:trPr>
          <w:trHeight w:hRule="exact" w:val="5466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FE" w:rsidRDefault="002165FE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5FE" w:rsidRDefault="002165F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65FE" w:rsidRDefault="002165F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Lavadora Alta Pressão,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220v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Mangueira de alta pressão 7,5m com pistola, Mangueira com trama de aço - Mais resistente!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Tubeira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 alta pressão. Carrinho com rodas e Adaptador engate rápido, fonte de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alimentação Elétrico com fio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Motor De Indução: Alta Durabilidade! Bomba Em Aço Inox Com Cabeçote Em Latão!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Tubeira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Profissional, vazão de 500 l/h.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6EE4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65FE" w:rsidRDefault="0059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R$ 1.950,00</w:t>
            </w:r>
          </w:p>
        </w:tc>
      </w:tr>
    </w:tbl>
    <w:p w:rsidR="002165FE" w:rsidRDefault="002165FE" w:rsidP="00D27F51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</w:pPr>
    </w:p>
    <w:p w:rsidR="00FB155F" w:rsidRDefault="00D27F51" w:rsidP="00D27F51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  <w:t xml:space="preserve">VALOR TOTAL GERAL: </w:t>
      </w:r>
      <w:r w:rsidRPr="00D27F51"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  <w:t>42.792,00</w:t>
      </w:r>
    </w:p>
    <w:p w:rsidR="002165FE" w:rsidRPr="00D27F51" w:rsidRDefault="002165FE" w:rsidP="00D27F51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2.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SEGUNDA – DA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VIGÊNCIA E PRORROGAÇÃO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vigência da contratação é de até 30 de Maio de 2025, prorrogável na forma do art. 107, da Lei n° 14.133/2021.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3.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TERCEIRA – DA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CLASSIFICAÇÃO DOS BENS/ SERVIÇOS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Os Itens a serem adquiridos enquadram - se na classificação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4.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QUARTA – DA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NECESSIDADE DA CONTRATAÇÃO</w:t>
      </w:r>
    </w:p>
    <w:p w:rsidR="00FB155F" w:rsidRDefault="00FB155F" w:rsidP="00FB155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A contratação de empresa para a referida Compra e a instalação dos mesmos se faz necessária para que possamos atender as demandas da Secretaria de Assistência Social e CRAS para o devido atendimento as crianças, idosos e demais munícipes que utilizam este espaço, dando condições para que os servidores possam exercer suas atividades e atender de forma adequada a todos.</w:t>
      </w:r>
      <w:r>
        <w:rPr>
          <w:rFonts w:ascii="Arial" w:hAnsi="Arial" w:cs="Arial"/>
          <w:color w:val="040C28"/>
          <w:sz w:val="24"/>
          <w:szCs w:val="24"/>
        </w:rPr>
        <w:t xml:space="preserve">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5.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QUINTA – DA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DA SOLUÇÃO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Descrição da Solução como um todo, considerado todo o ciclo.</w:t>
      </w:r>
    </w:p>
    <w:p w:rsidR="00FB155F" w:rsidRDefault="00FB155F" w:rsidP="00FB155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Como se trata da compra de matérias e eletrodomésticos se faz necessária para o bom desempenho das atividades sendo que a empresa deve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 xml:space="preserve">garantir a entrega dos itens deste Termo de Referência em no máximo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dias após demandado, dando assim condições para o atendimento das nossa demandas. Todos os itens devem ser instalados e estar em pleno funcionamento sendo assim considerada a entrega técnica dos mesmos. Estes equipamentos nos trará uma condição de solucionarmos uma lacuna na preparação de lanches e materiais para as atividades das oficinas do CRAS e da Assistência Social.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shd w:val="clear" w:color="auto" w:fill="FFFF00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6.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SEXTA – DOS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REQUISITOS DA CONTRATAÇÃO</w:t>
      </w:r>
    </w:p>
    <w:p w:rsidR="00FB155F" w:rsidRDefault="00FB155F" w:rsidP="00FB155F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Descrever obrigação da contratada</w:t>
      </w:r>
    </w:p>
    <w:p w:rsidR="00FB155F" w:rsidRDefault="00FB155F" w:rsidP="00FB155F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contratada deve efetuar a entrega dos Materiais de forma fracionada conforme demanda em um prazo máximo 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dias após demandada, efetuar a montagem e instalação dos mesmos, A Instalação deve ser sem custos adicionais, em caso de defeitos dentro dos prazos de garantia a empresa deve efetuar a sua manutenção em no máximo 12 horas após comunicada. A contratada obrigasse a efetuar a instalação dos equipamentos sendo a instalação e o teste de funcionamento considerada a entrega técnica que deverá ser assinada pelo responsável de cada setor, a entrega técnica e a instalação deve ser executada pela empresa vencedora do certame, não sendo aceita a sua terceirização.  </w:t>
      </w:r>
    </w:p>
    <w:p w:rsidR="00FB155F" w:rsidRDefault="00FB155F" w:rsidP="00FB155F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SÉTIMA – DA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DOS SERVIÇOS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Ao encerramento do certame a contratada assinara contrato com a Administração Municipal.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Secretário de Assistência Social </w:t>
      </w:r>
      <w:proofErr w:type="spell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B Santos. Os equipamentos e materiais serão entregues e instalados de forma parcelada conforme demanda e empenho prévio. O processo de licitação será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pontuada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por uma dispensa de licitação.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8.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OITAVA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LOCAL E PRAZO DE ENTREGA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PRAZO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Prazo inicial para a compra é imediatamente após a Assinatura do Contrato de Dispensa de Licitação e a contar do 1º dia útil posterior a data da confirmação do recebimento, pela ADJUDICATÁRIA, da nota de empenho que será enviada por e-mail ou outro meio de contato que tenha sido previamente disponibilizado pela ADJUDICATÁRIA. E após a ordem de empenho ser efetuada a empresa tem até no máximo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dias para a entrega e instalação dos itens deste Termo de Referência.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LOCAL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local da entrega e instalação dos materiais será em Lajeado do Bugre – RS nas dependências da Assistência Social e ou CRAS de Lajeado do Bugre - RS, solicitar conforme demanda ou em estabelecimento próprio do fornecedor sendo este dentro dos limites do município de Lajeado do Bugre – RS.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>8.3.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HORÁRIO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Os materiais e equipamentos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07:00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às 13:00 horas, e em caso de solicitação prévia em outros horários quando solicitado pela Administração Municipal, e quando demandado deverá ser atendido em uma prazo máximo de 5 (cinco) dias.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9.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NONA – DAS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b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ou na entrega dos equipamentos, para que seja substituído, reparado ou corrigido de forma imediata;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c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acompanhar e fiscalizar o cumprimento das obrigações da Contratada, através de comissão/servidor especialmente designado;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d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 pagamento à Contratada no valor correspondente ao fornecimento do objeto, no prazo e forma estabelecidos neste Termo de Referência em até 30 dias após a entrega e instalação dos mesmos;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e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</w:t>
      </w:r>
      <w:r w:rsidRPr="00FD202D">
        <w:rPr>
          <w:rFonts w:ascii="Arial" w:eastAsia="Arial Narrow" w:hAnsi="Arial" w:cs="Arial"/>
          <w:bCs/>
          <w:kern w:val="3"/>
          <w:sz w:val="24"/>
          <w:szCs w:val="24"/>
          <w:lang w:eastAsia="zh-CN" w:bidi="hi-IN"/>
        </w:rPr>
        <w:t>.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– 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DA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DA CONTRATADA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a entrega dos Equipamentos matérias e efetuar sua Instalação em perfeitas condições, entregar equipamentos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originais conforme especificações, não sendo montados com peças diferentes de marcasse com os prazos local constantes no termo de referência e seus anexos, acompanhado da respectiva nota fiscal.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comunicar à Contratante, no prazo máximo de 12 (doze) horas que antecede a data da entrega dos equipamentos e materiais, os motivos que impossibilitem o cumprimento do prazo previsto, com a devida comprovação;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dar garantia de serviço e da entrega dos equipamentos.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lastRenderedPageBreak/>
        <w:t>g)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executar a entrega dos equipamentos e da sua Instalação no máximo em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horas após demanda.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11.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PRIMEIRA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SUBCONTRATAÇÃO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É permitida a subcontratação do objeto deste Termo de Referência?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Não.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subcontratados: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12.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SEGUNDA – DA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GARANTIA (E/OU VALIDADE)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 ) O prazo de garantia dos equipamentos, contra defeitos, ou mal funcionamento e ou problema na instalação  deverá ser de no mínimo 1 ano, a contar do recebimento definitivo dos equipamentos, e ou a garantia de fabricante de cada equipamento.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administração municipal.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13.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TERCEIRA – DO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CONTROLE E FISCALIZAÇÃO DA EXECUÇÃO</w:t>
      </w:r>
    </w:p>
    <w:p w:rsidR="00FB155F" w:rsidRDefault="00FB155F" w:rsidP="00FB155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O controle a fiscalização dos itens a serem entregues e os serviços prestados é de responsabilidade da Sra. </w:t>
      </w:r>
      <w:proofErr w:type="spellStart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 Santos, Secretária de Assistência Social, fone contato 55 9 8438 8510.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Sra. </w:t>
      </w:r>
      <w:proofErr w:type="spellStart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 Santos, Secretária de Assistência Social, fone contato 55 9 8438 8510.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ab/>
      </w: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14.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QUARTA -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DOS PROCEDIMENTOS DE TESTES E INSPEÇÕES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lastRenderedPageBreak/>
        <w:t xml:space="preserve">15.1. 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15.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QUINTA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APLICAÇÃO DOS CRITÉRIOS DE ACEITAÇÃO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serviços prestados será com a simples conferência.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pagamento somente será efetuado apos os 30 dias da entrega dos materiais</w:t>
      </w:r>
      <w:proofErr w:type="gramStart"/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 </w:t>
      </w:r>
      <w:proofErr w:type="gramEnd"/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devidamente instalados e funcionado.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16.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SEXTA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SANÇÕES ADMINISTRATIVAS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total do contrato;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entregar a documentação exigida para o certame;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licitação ou praticar ato fraudulento na execução do contrato;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-se de modo inidôneo ou cometer fraude de qualquer natureza;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 praticar atos ilícitos com vistas a frustrar os objetivos da licitação;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XII praticar ato lesivo previsto no art. 5º da Lei nº 12.846, de 1º de agosto de 2013.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licitar e contratar;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inidoneidade para licitar ou contratar.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Na aplicação das sanções serão considerados: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 a natureza e a gravidade da infração cometida;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II as peculiaridades do caso concreto;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circunstâncias agravantes ou atenuantes;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danos que dela provierem para a Administração Pública;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>V. a implantação ou o aperfeiçoamento de programa de integridade, conforme normas e orientações dos órgãos de controle.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(três) anos.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>(quinze) dias úteis, contado da data de intimação, apresentar defesa escrita e especificar as provas que pretenda produzir.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17.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SÉTIMA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PENALIDADES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17.1.1. Retardarem a execução do certame;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17.1.3. Fizerem declaração falsa ou cometerem fraude fiscal.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18.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 </w:t>
      </w:r>
      <w:proofErr w:type="gramEnd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DÉCIMA OITAVA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PAGAMENTO E REAJUSTAMENTO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no prazo de até 30 (trinta) dias,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19.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NONA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CRITÉRIOS DE REDUÇÕES DE PAGAMENTO</w:t>
      </w:r>
    </w:p>
    <w:p w:rsidR="00DA1D7F" w:rsidRDefault="00FB155F" w:rsidP="004B3E6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pagamento somente ocorrera na forma integral, não sendo aceito parcelamento no pagamento dos equipamentos já entregues e instalados.</w:t>
      </w:r>
    </w:p>
    <w:p w:rsidR="004B3E6D" w:rsidRPr="004B3E6D" w:rsidRDefault="004B3E6D" w:rsidP="004B3E6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DA1D7F" w:rsidRDefault="00DA1D7F" w:rsidP="00DA1D7F">
      <w:pPr>
        <w:shd w:val="clear" w:color="auto" w:fill="EEECE1" w:themeFill="background2"/>
        <w:spacing w:after="0" w:line="240" w:lineRule="auto"/>
        <w:ind w:left="-5" w:right="19"/>
        <w:rPr>
          <w:b/>
          <w:bCs/>
        </w:rPr>
      </w:pPr>
      <w:r>
        <w:rPr>
          <w:b/>
          <w:bCs/>
        </w:rPr>
        <w:t>20. CLÁUSULA VIGÉSIMA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- DO FORO</w:t>
      </w:r>
    </w:p>
    <w:p w:rsidR="00DA1D7F" w:rsidRDefault="00DA1D7F" w:rsidP="00DA1D7F">
      <w:pPr>
        <w:spacing w:after="0" w:line="240" w:lineRule="auto"/>
        <w:rPr>
          <w:sz w:val="10"/>
          <w:szCs w:val="8"/>
        </w:rPr>
      </w:pPr>
    </w:p>
    <w:p w:rsidR="00DA1D7F" w:rsidRDefault="00DA1D7F" w:rsidP="00DA1D7F">
      <w:pPr>
        <w:spacing w:after="0" w:line="240" w:lineRule="auto"/>
      </w:pPr>
      <w:r>
        <w:rPr>
          <w:b/>
          <w:bCs/>
        </w:rPr>
        <w:t>14.1.</w:t>
      </w:r>
      <w:r>
        <w:t xml:space="preserve"> O Foro competente para dirimir quaisquer dúvidas decorrentes da presente contratação será o Fórum da Comarca de Palmeira das Missões/RS.</w:t>
      </w:r>
    </w:p>
    <w:p w:rsidR="00DA1D7F" w:rsidRDefault="00DA1D7F" w:rsidP="00DA1D7F">
      <w:pPr>
        <w:spacing w:after="204"/>
        <w:jc w:val="center"/>
        <w:rPr>
          <w:rFonts w:asciiTheme="minorHAnsi" w:eastAsia="Times New Roman" w:hAnsiTheme="minorHAnsi" w:cstheme="minorHAnsi"/>
          <w:b/>
          <w:bCs/>
        </w:rPr>
      </w:pPr>
    </w:p>
    <w:p w:rsidR="00DA1D7F" w:rsidRDefault="00DA1D7F" w:rsidP="00DA1D7F">
      <w:pPr>
        <w:spacing w:after="204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Lajeado do Bugre/RS, 06 de Dezembro de 2024.</w:t>
      </w:r>
    </w:p>
    <w:p w:rsidR="00DA1D7F" w:rsidRDefault="00DA1D7F" w:rsidP="00DA1D7F"/>
    <w:p w:rsidR="00DA1D7F" w:rsidRDefault="00DA1D7F" w:rsidP="00DA1D7F">
      <w:pPr>
        <w:rPr>
          <w:rFonts w:ascii="Arial" w:hAnsi="Arial" w:cs="Arial"/>
          <w:sz w:val="23"/>
          <w:szCs w:val="23"/>
        </w:rPr>
      </w:pPr>
    </w:p>
    <w:p w:rsidR="00DA1D7F" w:rsidRDefault="00DA1D7F" w:rsidP="00DA1D7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                               ______________________</w:t>
      </w:r>
    </w:p>
    <w:p w:rsidR="00DA1D7F" w:rsidRDefault="00DA1D7F" w:rsidP="00DA1D7F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Ronaldo Machado da Silva                              </w:t>
      </w:r>
      <w:r>
        <w:rPr>
          <w:rFonts w:ascii="Arial" w:hAnsi="Arial" w:cs="Arial"/>
          <w:b/>
          <w:sz w:val="23"/>
          <w:szCs w:val="23"/>
        </w:rPr>
        <w:t>DESTAL MOVEIS LTDA</w:t>
      </w:r>
    </w:p>
    <w:p w:rsidR="00DA1D7F" w:rsidRDefault="00DA1D7F" w:rsidP="00DA1D7F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DA1D7F" w:rsidRDefault="00DA1D7F"/>
    <w:sectPr w:rsidR="00DA1D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17" w:rsidRDefault="00106E17" w:rsidP="00106E17">
      <w:pPr>
        <w:spacing w:after="0" w:line="240" w:lineRule="auto"/>
      </w:pPr>
      <w:r>
        <w:separator/>
      </w:r>
    </w:p>
  </w:endnote>
  <w:endnote w:type="continuationSeparator" w:id="0">
    <w:p w:rsidR="00106E17" w:rsidRDefault="00106E17" w:rsidP="0010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17" w:rsidRDefault="00106E17" w:rsidP="00106E17">
      <w:pPr>
        <w:spacing w:after="0" w:line="240" w:lineRule="auto"/>
      </w:pPr>
      <w:r>
        <w:separator/>
      </w:r>
    </w:p>
  </w:footnote>
  <w:footnote w:type="continuationSeparator" w:id="0">
    <w:p w:rsidR="00106E17" w:rsidRDefault="00106E17" w:rsidP="0010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E17" w:rsidRDefault="00106E17">
    <w:pPr>
      <w:pStyle w:val="Cabealho"/>
    </w:pPr>
  </w:p>
  <w:p w:rsidR="00106E17" w:rsidRDefault="00106E17">
    <w:pPr>
      <w:pStyle w:val="Cabealho"/>
    </w:pPr>
  </w:p>
  <w:p w:rsidR="00106E17" w:rsidRDefault="00106E17">
    <w:pPr>
      <w:pStyle w:val="Cabealho"/>
    </w:pPr>
  </w:p>
  <w:p w:rsidR="00106E17" w:rsidRDefault="00106E17">
    <w:pPr>
      <w:pStyle w:val="Cabealho"/>
    </w:pPr>
  </w:p>
  <w:p w:rsidR="00106E17" w:rsidRDefault="00106E17">
    <w:pPr>
      <w:pStyle w:val="Cabealho"/>
    </w:pPr>
  </w:p>
  <w:p w:rsidR="00106E17" w:rsidRDefault="00106E17">
    <w:pPr>
      <w:pStyle w:val="Cabealho"/>
    </w:pPr>
  </w:p>
  <w:p w:rsidR="00106E17" w:rsidRDefault="00106E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5F"/>
    <w:rsid w:val="00106E17"/>
    <w:rsid w:val="001175DE"/>
    <w:rsid w:val="00161D8C"/>
    <w:rsid w:val="002165FE"/>
    <w:rsid w:val="00496FAB"/>
    <w:rsid w:val="004B3E6D"/>
    <w:rsid w:val="00596EE4"/>
    <w:rsid w:val="00B755D6"/>
    <w:rsid w:val="00D27F51"/>
    <w:rsid w:val="00DA1D7F"/>
    <w:rsid w:val="00DF15CF"/>
    <w:rsid w:val="00FB155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5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1"/>
    <w:locked/>
    <w:rsid w:val="00FB155F"/>
  </w:style>
  <w:style w:type="paragraph" w:styleId="PargrafodaLista">
    <w:name w:val="List Paragraph"/>
    <w:basedOn w:val="Normal"/>
    <w:link w:val="PargrafodaListaChar"/>
    <w:uiPriority w:val="1"/>
    <w:qFormat/>
    <w:rsid w:val="00FB15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106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E1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06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5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1"/>
    <w:locked/>
    <w:rsid w:val="00FB155F"/>
  </w:style>
  <w:style w:type="paragraph" w:styleId="PargrafodaLista">
    <w:name w:val="List Paragraph"/>
    <w:basedOn w:val="Normal"/>
    <w:link w:val="PargrafodaListaChar"/>
    <w:uiPriority w:val="1"/>
    <w:qFormat/>
    <w:rsid w:val="00FB15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106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E1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06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3752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11</cp:revision>
  <dcterms:created xsi:type="dcterms:W3CDTF">2024-12-12T11:00:00Z</dcterms:created>
  <dcterms:modified xsi:type="dcterms:W3CDTF">2024-12-12T14:51:00Z</dcterms:modified>
</cp:coreProperties>
</file>