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72" w:rsidRDefault="003C3D72">
      <w:pPr>
        <w:rPr>
          <w:b/>
        </w:rPr>
      </w:pPr>
    </w:p>
    <w:p w:rsidR="003C3D72" w:rsidRDefault="003C3D72">
      <w:pPr>
        <w:rPr>
          <w:b/>
        </w:rPr>
      </w:pPr>
    </w:p>
    <w:p w:rsidR="00A06CE6" w:rsidRDefault="00776B1B">
      <w:pPr>
        <w:rPr>
          <w:b/>
        </w:rPr>
      </w:pPr>
      <w:r>
        <w:rPr>
          <w:b/>
        </w:rPr>
        <w:t>CONTRATO Nº 12/2024</w:t>
      </w:r>
    </w:p>
    <w:p w:rsidR="003C3D72" w:rsidRDefault="003C3D72" w:rsidP="003C3D72">
      <w:pPr>
        <w:ind w:left="4253"/>
        <w:rPr>
          <w:b/>
        </w:rPr>
      </w:pPr>
      <w:r>
        <w:rPr>
          <w:b/>
        </w:rPr>
        <w:t>CONTRATO DE FORNECIMENTO QUE FAZEM ENTRE SI O MUNICIPIO DE LAJEADO DO BUGRE – RS, E A EMPRESA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M. A.  SERVIÇOS E TREINAMENTOS LTDA.</w:t>
      </w:r>
    </w:p>
    <w:p w:rsidR="00B975DA" w:rsidRDefault="00B975DA">
      <w:pPr>
        <w:rPr>
          <w:b/>
        </w:rPr>
      </w:pPr>
    </w:p>
    <w:p w:rsidR="00B975DA" w:rsidRDefault="00B975DA" w:rsidP="00B975DA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5769B5">
        <w:rPr>
          <w:rFonts w:ascii="Arial" w:hAnsi="Arial" w:cs="Arial"/>
          <w:b/>
          <w:sz w:val="23"/>
          <w:szCs w:val="23"/>
        </w:rPr>
        <w:t>o MUNICÍPIO DE LAJEADO DO BUGRE/RS</w:t>
      </w:r>
      <w:r w:rsidRPr="005769B5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 w:rsidRPr="005769B5">
        <w:rPr>
          <w:rFonts w:ascii="Arial" w:hAnsi="Arial" w:cs="Arial"/>
          <w:sz w:val="23"/>
          <w:szCs w:val="23"/>
        </w:rPr>
        <w:t>, brasileiro</w:t>
      </w:r>
      <w:r>
        <w:rPr>
          <w:rFonts w:ascii="Arial" w:hAnsi="Arial" w:cs="Arial"/>
          <w:sz w:val="23"/>
          <w:szCs w:val="23"/>
        </w:rPr>
        <w:t>, casado, RG nº 1089863853, CPF: 004.229.410-00</w:t>
      </w:r>
      <w:r w:rsidRPr="005769B5">
        <w:rPr>
          <w:rFonts w:ascii="Arial" w:hAnsi="Arial" w:cs="Arial"/>
          <w:sz w:val="23"/>
          <w:szCs w:val="23"/>
        </w:rPr>
        <w:t>, residente e domicili</w:t>
      </w:r>
      <w:r>
        <w:rPr>
          <w:rFonts w:ascii="Arial" w:hAnsi="Arial" w:cs="Arial"/>
          <w:sz w:val="23"/>
          <w:szCs w:val="23"/>
        </w:rPr>
        <w:t>ado na Linha Cordilheira, interior</w:t>
      </w:r>
      <w:r w:rsidRPr="005769B5">
        <w:rPr>
          <w:rFonts w:ascii="Arial" w:hAnsi="Arial" w:cs="Arial"/>
          <w:sz w:val="23"/>
          <w:szCs w:val="23"/>
        </w:rPr>
        <w:t xml:space="preserve">, Lajeado do Bugre - RS, ora denominado simplesmente </w:t>
      </w:r>
      <w:r w:rsidRPr="005769B5">
        <w:rPr>
          <w:rFonts w:ascii="Arial" w:hAnsi="Arial" w:cs="Arial"/>
          <w:b/>
          <w:i/>
          <w:sz w:val="23"/>
          <w:szCs w:val="23"/>
        </w:rPr>
        <w:t>CONTRATANTE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e, por outro lado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empresa M. A SERVIÇOS E TREINAMENTO LTDA</w:t>
      </w:r>
      <w:r w:rsidRPr="005769B5">
        <w:rPr>
          <w:rFonts w:ascii="Arial" w:hAnsi="Arial" w:cs="Arial"/>
          <w:sz w:val="23"/>
          <w:szCs w:val="23"/>
        </w:rPr>
        <w:t xml:space="preserve">, pessoa </w:t>
      </w:r>
      <w:r>
        <w:rPr>
          <w:rFonts w:ascii="Arial" w:hAnsi="Arial" w:cs="Arial"/>
          <w:sz w:val="23"/>
          <w:szCs w:val="23"/>
        </w:rPr>
        <w:t>jurídica</w:t>
      </w:r>
      <w:r w:rsidRPr="005769B5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inscrita no CNPJ sob nº 26.607.205/0001-23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>
        <w:rPr>
          <w:rFonts w:ascii="Arial" w:hAnsi="Arial" w:cs="Arial"/>
          <w:sz w:val="23"/>
          <w:szCs w:val="23"/>
        </w:rPr>
        <w:t xml:space="preserve">na cidade de Três Passo </w:t>
      </w:r>
      <w:r w:rsidRPr="005769B5">
        <w:rPr>
          <w:rFonts w:ascii="Arial" w:hAnsi="Arial" w:cs="Arial"/>
          <w:sz w:val="23"/>
          <w:szCs w:val="23"/>
        </w:rPr>
        <w:t>– RS, na</w:t>
      </w:r>
      <w:r>
        <w:rPr>
          <w:rFonts w:ascii="Arial" w:hAnsi="Arial" w:cs="Arial"/>
          <w:sz w:val="23"/>
          <w:szCs w:val="23"/>
        </w:rPr>
        <w:t xml:space="preserve"> Rua Dr. Luiz de Medeiros, nº 764</w:t>
      </w:r>
      <w:r w:rsidRPr="005769B5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Bairro centro, Três Passos – RS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e de ora em diante denominada </w:t>
      </w:r>
      <w:r w:rsidRPr="005769B5">
        <w:rPr>
          <w:rFonts w:ascii="Arial" w:hAnsi="Arial" w:cs="Arial"/>
          <w:b/>
          <w:i/>
          <w:sz w:val="23"/>
          <w:szCs w:val="23"/>
        </w:rPr>
        <w:t>CONTRATADA</w:t>
      </w:r>
      <w:r w:rsidRPr="005769B5">
        <w:rPr>
          <w:rFonts w:ascii="Arial" w:hAnsi="Arial" w:cs="Arial"/>
          <w:sz w:val="23"/>
          <w:szCs w:val="23"/>
        </w:rPr>
        <w:t>, têm entre si, certo e ajustado, firmam o presente contrato</w:t>
      </w:r>
      <w:r>
        <w:rPr>
          <w:rFonts w:ascii="Arial" w:hAnsi="Arial" w:cs="Arial"/>
          <w:sz w:val="23"/>
          <w:szCs w:val="23"/>
        </w:rPr>
        <w:t xml:space="preserve"> conforme Processo Administrativo 03/2024 Dispensa de Licitação LEI 14.133/2021, 03/2024 </w:t>
      </w:r>
      <w:r w:rsidRPr="005769B5">
        <w:rPr>
          <w:rFonts w:ascii="Arial" w:hAnsi="Arial" w:cs="Arial"/>
          <w:sz w:val="23"/>
          <w:szCs w:val="23"/>
        </w:rPr>
        <w:t>mediante as seguintes cláusulas e condições:</w:t>
      </w:r>
    </w:p>
    <w:p w:rsidR="005C77C4" w:rsidRPr="005C77C4" w:rsidRDefault="005C77C4" w:rsidP="005C77C4">
      <w:pPr>
        <w:pStyle w:val="PargrafodaLista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r w:rsidRPr="005C77C4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CLÁUSULA PRIMEIRA – DO OBJETO</w:t>
      </w:r>
    </w:p>
    <w:p w:rsidR="005C77C4" w:rsidRP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CONTRATAÇÃO DE EMPRESA PARA SERVIÇO TÉCNICO PARA ELABORAÇÃO DE EDITAL PROCESSO SELETIVO SIMPLIFICADO, ELABORAÇÃO DE PROVAS, APLICAÇÃO DE PROVAS, CERREÇÃO DE PROVAS, DIVULGAÇÕES, PARA AS VAGAS DESCRITAS DAS SEGUINTES LEIS: LEI 1817/2024, LEI 1818/2024 E LEI 1807/2023.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</w:p>
    <w:p w:rsidR="005C77C4" w:rsidRPr="003E100A" w:rsidRDefault="005C77C4" w:rsidP="005C77C4">
      <w:pPr>
        <w:pStyle w:val="PargrafodaLista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pStyle w:val="PargrafodaLista"/>
        <w:suppressAutoHyphens/>
        <w:autoSpaceDN w:val="0"/>
        <w:spacing w:after="0" w:line="240" w:lineRule="auto"/>
        <w:ind w:left="405" w:right="-1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021"/>
        <w:gridCol w:w="1247"/>
        <w:gridCol w:w="3830"/>
        <w:gridCol w:w="1729"/>
      </w:tblGrid>
      <w:tr w:rsidR="005E0CC5" w:rsidTr="005E0CC5">
        <w:tc>
          <w:tcPr>
            <w:tcW w:w="817" w:type="dxa"/>
          </w:tcPr>
          <w:p w:rsidR="005E0CC5" w:rsidRPr="005E0CC5" w:rsidRDefault="005E0CC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 xml:space="preserve">ITEM </w:t>
            </w:r>
          </w:p>
        </w:tc>
        <w:tc>
          <w:tcPr>
            <w:tcW w:w="1021" w:type="dxa"/>
          </w:tcPr>
          <w:p w:rsidR="005E0CC5" w:rsidRPr="005E0CC5" w:rsidRDefault="005E0CC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QUANT</w:t>
            </w:r>
          </w:p>
        </w:tc>
        <w:tc>
          <w:tcPr>
            <w:tcW w:w="1247" w:type="dxa"/>
          </w:tcPr>
          <w:p w:rsidR="005E0CC5" w:rsidRPr="005E0CC5" w:rsidRDefault="005E0CC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/>
                <w:iCs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/>
                <w:iCs/>
                <w:kern w:val="3"/>
                <w:sz w:val="23"/>
                <w:szCs w:val="23"/>
                <w:lang w:eastAsia="zh-CN" w:bidi="hi-IN"/>
              </w:rPr>
              <w:t>UN MEDIDA</w:t>
            </w:r>
          </w:p>
        </w:tc>
        <w:tc>
          <w:tcPr>
            <w:tcW w:w="3830" w:type="dxa"/>
          </w:tcPr>
          <w:p w:rsidR="005E0CC5" w:rsidRPr="005E0CC5" w:rsidRDefault="005E0CC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729" w:type="dxa"/>
          </w:tcPr>
          <w:p w:rsidR="005E0CC5" w:rsidRPr="005E0CC5" w:rsidRDefault="005E0CC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 xml:space="preserve">VALOR </w:t>
            </w:r>
          </w:p>
        </w:tc>
      </w:tr>
      <w:tr w:rsidR="005E0CC5" w:rsidTr="005E0CC5">
        <w:tc>
          <w:tcPr>
            <w:tcW w:w="817" w:type="dxa"/>
          </w:tcPr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5E0CC5" w:rsidRPr="005E0CC5" w:rsidRDefault="005E0CC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01</w:t>
            </w:r>
          </w:p>
        </w:tc>
        <w:tc>
          <w:tcPr>
            <w:tcW w:w="1021" w:type="dxa"/>
          </w:tcPr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5E0CC5" w:rsidRPr="005E0CC5" w:rsidRDefault="005E0CC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01</w:t>
            </w:r>
          </w:p>
        </w:tc>
        <w:tc>
          <w:tcPr>
            <w:tcW w:w="1247" w:type="dxa"/>
          </w:tcPr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5E0CC5" w:rsidRPr="005E0CC5" w:rsidRDefault="005E0CC5" w:rsidP="005E0CC5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830" w:type="dxa"/>
          </w:tcPr>
          <w:p w:rsidR="005E0CC5" w:rsidRPr="005E0CC5" w:rsidRDefault="005E0CC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 xml:space="preserve">CONTRATAÇÃO DE SERVIÇO TÉCNICO PARA ELABORAÇÃO DE EDITAL DE PROCESSO SELETIVO SIMPLIFICADO, ELABORAÇÃO DE PROVAS, APLICAÇÃO DE PROVAS, CORREÇÃO DE PROVAS, DIVULGAÇÃO, PARA AS VAGAS DESCRITAS NAS SEGUINTES LEIS: LEI 1817/2024, LEI 1818/ </w:t>
            </w:r>
            <w:r w:rsidRPr="005E0CC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lastRenderedPageBreak/>
              <w:t>2024 E LEI 1807/2023.</w:t>
            </w:r>
          </w:p>
        </w:tc>
        <w:tc>
          <w:tcPr>
            <w:tcW w:w="1729" w:type="dxa"/>
          </w:tcPr>
          <w:p w:rsidR="002E4DA5" w:rsidRDefault="002E4DA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2E4DA5" w:rsidRDefault="002E4DA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5E0CC5" w:rsidRPr="002E4DA5" w:rsidRDefault="002E4DA5" w:rsidP="005C77C4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 w:rsidRPr="002E4DA5"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37.500,00</w:t>
            </w:r>
          </w:p>
        </w:tc>
      </w:tr>
    </w:tbl>
    <w:p w:rsidR="005C77C4" w:rsidRDefault="005C77C4" w:rsidP="005C77C4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color w:val="2A6099"/>
          <w:kern w:val="3"/>
          <w:sz w:val="23"/>
          <w:szCs w:val="23"/>
          <w:lang w:eastAsia="zh-CN" w:bidi="hi-IN"/>
        </w:rPr>
      </w:pPr>
    </w:p>
    <w:p w:rsidR="003C3D72" w:rsidRPr="00A103ED" w:rsidRDefault="002E4DA5" w:rsidP="002E4DA5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</w:pPr>
      <w:r w:rsidRPr="00A103ED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VALOR TOTAL: 37.500,00</w:t>
      </w:r>
      <w:bookmarkStart w:id="0" w:name="_GoBack"/>
      <w:bookmarkEnd w:id="0"/>
    </w:p>
    <w:p w:rsidR="002E4DA5" w:rsidRPr="002E4DA5" w:rsidRDefault="002E4DA5" w:rsidP="002E4DA5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SEGUNDA – DA</w:t>
      </w:r>
      <w:proofErr w:type="gramStart"/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proofErr w:type="gramEnd"/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3.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TERCEIRA - DA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CLASSIFICAÇÃO DOS BENS/ SERVIÇOS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 w:rsidRPr="003E100A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4.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QUARTA - DA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NECESSIDADE DA CONTRATAÇÃO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5C77C4" w:rsidRPr="003E100A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F971FE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</w:t>
      </w:r>
      <w:r w:rsidR="005C77C4"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 contratação de empresa para a referida prestação de serviço e a realização do Processo Seletivo se faz necessária para contratação de profissionais de diversas áreas para atender demandas de urgência a administração municipal, uma vez que nosso quadro de servidores vem com grande defasagem, principalmente nos últimos anos após o afastamento dos servidores que se encontravam na ativa após sua aposentadoria via INSS.</w:t>
      </w:r>
    </w:p>
    <w:p w:rsid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5.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QUINTA - DA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DESCRIÇÃO DA SOLUÇÃO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 w:rsidRPr="003E100A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 a contratação destes servidores ficaremos com um quadro de servidores compatível com as demandas diárias de vários de nossos setores, sendo que supriremos diversas demandas e daremos a nossa população um servido de qualidade com a contratação de incremento em nosso quadro de servidores.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6.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SEXTA - DOS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REQUISITOS DA CONTRATAÇÃO</w:t>
      </w:r>
    </w:p>
    <w:p w:rsidR="00F971FE" w:rsidRDefault="00F971FE" w:rsidP="005C77C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 w:rsidRPr="003E100A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5C77C4" w:rsidRDefault="005C77C4" w:rsidP="005C77C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é responsável por todo o processo legal e organizacional do Processo Seletivo, até a entrega dos nomes dos aprovados do Processo Seletivo para a contratação da Administração Municipal. </w:t>
      </w:r>
    </w:p>
    <w:p w:rsidR="00F971FE" w:rsidRPr="003E100A" w:rsidRDefault="00F971FE" w:rsidP="005C77C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 w:rsidRPr="003E100A"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Sra.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Secretária de Administração </w:t>
      </w:r>
      <w:proofErr w:type="spell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Sirlane</w:t>
      </w:r>
      <w:proofErr w:type="spell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da Silva </w:t>
      </w:r>
      <w:proofErr w:type="spell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Silva</w:t>
      </w:r>
      <w:proofErr w:type="spell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. O processo </w:t>
      </w:r>
      <w:proofErr w:type="spell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sera</w:t>
      </w:r>
      <w:proofErr w:type="spell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acompanhado e todas as informações serão de responsabilidade da Secretaria de Administração.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-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 w:rsidRPr="003E100A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(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da ordem de inicio dos serviços (empenho).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prestação de serviço será em Lajeado do Bugre – RS nas dependências da Administração Pública Municipal, ou em local onde está definir, solicitar conforme demanda, o local das provas do Processo Seletivo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serão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realizado na Escola Municipal Nestor Guimaraes, localizada na Linha Esquina Umbu, Interior de Lajeado do Bugre, com data e horário a ser definido pela empresa vencedora, obedecendo sempre os prazos legas de publicação e de todos os tramites legais. 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serviços deste Termo de Referência deverá ser efetuados, em dias úteis, das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Municipal.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As provas do Processo Seletivos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devem ser realizados em dias uteis e ou em Domingo.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NONA - DAS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OBRIGAÇÕES DA CONTRATANTE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estabelecidas neste Termo de Referência;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serviços prestado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para que seja substituído, reparado ou corrigido;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executar e desenvolver todo os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tramites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documentos necessários para a realização do Processo Seletivo.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efetuar os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tramites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legais do Processo Seletivo executando e cumprindo todos os prazos estipulados.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d)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C3D72" w:rsidRDefault="003C3D72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3C3D72" w:rsidRDefault="003C3D72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PRIMEIRA -</w:t>
      </w:r>
      <w:proofErr w:type="gramStart"/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proofErr w:type="gramEnd"/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F971FE" w:rsidRDefault="00F971FE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F971FE" w:rsidRPr="003E100A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 – DO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serviços e do Processo Seletivo a serem realizados é de responsabilidade da Sra. </w:t>
      </w:r>
      <w:proofErr w:type="spellStart"/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Sirlane</w:t>
      </w:r>
      <w:proofErr w:type="spellEnd"/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da Silva </w:t>
      </w:r>
      <w:proofErr w:type="spellStart"/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Silva</w:t>
      </w:r>
      <w:proofErr w:type="spellEnd"/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, Secretária de Administração, fone contato 55 9 8408 – 3012.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e falhas que venham a ocorrer.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 w:rsidRPr="003E100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 w:rsidRPr="003E100A"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Sirlane da Silva Silva, Secretaria de Administração, telefone 55 9 8408 – 3012. </w:t>
      </w:r>
    </w:p>
    <w:p w:rsidR="005C77C4" w:rsidRPr="003E100A" w:rsidRDefault="005C77C4" w:rsidP="005C77C4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14.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QUARTA -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DOS PROCEDIMENTOS DE TESTES E INSPEÇÕES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Processo Seletivo, sendo obrigação da CONTRATADA acolhê-las.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15.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QUINTA -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DA APLICAÇÃO DOS CRITÉRIOS DE ACEITAÇÃO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</w:pPr>
    </w:p>
    <w:p w:rsid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o devido adamento do processo. </w:t>
      </w:r>
      <w:r w:rsidRPr="003E100A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proofErr w:type="gramStart"/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sera divido</w:t>
      </w:r>
      <w:proofErr w:type="gramEnd"/>
      <w:r w:rsidRPr="003E100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em duas partes iguais, sendo a primeirra apos a publicação do edital de processo seletivo e a segunda parcela apos o termino do Processo Seletivo com apresentação final dos aprovados e  homologados.</w:t>
      </w:r>
    </w:p>
    <w:p w:rsidR="00F971FE" w:rsidRPr="003E100A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16.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SEXTA -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DAS SANÇÕES ADMINISTRATIVAS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16.2.4.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3C3D72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</w:t>
      </w: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16.2.11.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17.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SÉTIMA -</w:t>
      </w:r>
      <w:proofErr w:type="gramStart"/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proofErr w:type="gramEnd"/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certame;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C3D72" w:rsidRDefault="003C3D72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-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 w:rsidRPr="003E100A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 pagamento será efetuado em duas parcelas iguais, sendo a primeira parcela apos a publicação do edital de Processo Seletivo, e a segunda e ultima parcela ao final do Processo Seletivo, com entraga da documentação, publicaçãoes e homologação dos aprovados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.</w:t>
      </w:r>
    </w:p>
    <w:p w:rsid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F971FE" w:rsidRPr="003E100A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C77C4" w:rsidRPr="003E100A" w:rsidRDefault="005C77C4" w:rsidP="005C7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F971F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- </w:t>
      </w:r>
      <w:r w:rsidRPr="003E100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F971FE" w:rsidRDefault="00F971F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C77C4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3E100A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pagamento somente ocorrera com apresentação de nota fiscal que devera conter número do processo de licitação e nº do empenho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. O pagamento sera em duas parcelas iguas, um apos a publicação do Edital e a ultima parcela apos a conclução do processo, com a presentação da homologação dos aprovados.</w:t>
      </w:r>
    </w:p>
    <w:p w:rsidR="00B020A9" w:rsidRDefault="00B020A9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B020A9" w:rsidRDefault="00B020A9" w:rsidP="00B020A9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 w:rsidRPr="00C204BE"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AF3270" w:rsidRDefault="00AF3270" w:rsidP="00B020A9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AF3270" w:rsidRDefault="00AF3270" w:rsidP="00B020A9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AF3270" w:rsidRPr="00C204BE" w:rsidRDefault="00AF3270" w:rsidP="00AF3270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– RS, 06 de Janeiro de 2024.</w:t>
      </w:r>
    </w:p>
    <w:p w:rsidR="00B020A9" w:rsidRDefault="00B020A9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_____________________                         _____________________</w:t>
      </w:r>
    </w:p>
    <w:p w:rsid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Ronaldo Machado da Silva                        M. A. Serviços e Treinementos </w:t>
      </w:r>
      <w:proofErr w:type="gramStart"/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LTDA</w:t>
      </w:r>
      <w:proofErr w:type="gramEnd"/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                    </w:t>
      </w:r>
    </w:p>
    <w:p w:rsidR="005C61CE" w:rsidRPr="005C61CE" w:rsidRDefault="005C61CE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C61C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CONTRATANTE 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                                      CONTRATADA </w:t>
      </w:r>
    </w:p>
    <w:p w:rsidR="005C77C4" w:rsidRPr="003E100A" w:rsidRDefault="005C77C4" w:rsidP="005C7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val="pt-PT" w:eastAsia="zh-CN" w:bidi="hi-IN"/>
        </w:rPr>
      </w:pPr>
    </w:p>
    <w:p w:rsidR="005C77C4" w:rsidRPr="005769B5" w:rsidRDefault="005C77C4" w:rsidP="00B975DA">
      <w:pPr>
        <w:jc w:val="both"/>
        <w:rPr>
          <w:rFonts w:ascii="Arial" w:hAnsi="Arial" w:cs="Arial"/>
          <w:sz w:val="23"/>
          <w:szCs w:val="23"/>
        </w:rPr>
      </w:pPr>
    </w:p>
    <w:p w:rsidR="00B975DA" w:rsidRPr="00776B1B" w:rsidRDefault="00B975DA">
      <w:pPr>
        <w:rPr>
          <w:b/>
        </w:rPr>
      </w:pPr>
    </w:p>
    <w:sectPr w:rsidR="00B975DA" w:rsidRPr="00776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3F70"/>
    <w:multiLevelType w:val="hybridMultilevel"/>
    <w:tmpl w:val="332C9382"/>
    <w:lvl w:ilvl="0" w:tplc="5E1274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744268CF"/>
    <w:multiLevelType w:val="hybridMultilevel"/>
    <w:tmpl w:val="6DF234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1B"/>
    <w:rsid w:val="002E4DA5"/>
    <w:rsid w:val="002F1D00"/>
    <w:rsid w:val="003C3D72"/>
    <w:rsid w:val="005C61CE"/>
    <w:rsid w:val="005C77C4"/>
    <w:rsid w:val="005E0CC5"/>
    <w:rsid w:val="00776B1B"/>
    <w:rsid w:val="00A06CE6"/>
    <w:rsid w:val="00A103ED"/>
    <w:rsid w:val="00AF3270"/>
    <w:rsid w:val="00B020A9"/>
    <w:rsid w:val="00B975DA"/>
    <w:rsid w:val="00F6774C"/>
    <w:rsid w:val="00F9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975D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B975DA"/>
    <w:rPr>
      <w:rFonts w:ascii="Calibri" w:eastAsia="Calibri" w:hAnsi="Calibri" w:cs="Times New Roman"/>
    </w:rPr>
  </w:style>
  <w:style w:type="paragraph" w:customStyle="1" w:styleId="Standard">
    <w:name w:val="Standard"/>
    <w:rsid w:val="00B020A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Tabelacomgrade">
    <w:name w:val="Table Grid"/>
    <w:basedOn w:val="Tabelanormal"/>
    <w:uiPriority w:val="59"/>
    <w:rsid w:val="005E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975D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B975DA"/>
    <w:rPr>
      <w:rFonts w:ascii="Calibri" w:eastAsia="Calibri" w:hAnsi="Calibri" w:cs="Times New Roman"/>
    </w:rPr>
  </w:style>
  <w:style w:type="paragraph" w:customStyle="1" w:styleId="Standard">
    <w:name w:val="Standard"/>
    <w:rsid w:val="00B020A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Tabelacomgrade">
    <w:name w:val="Table Grid"/>
    <w:basedOn w:val="Tabelanormal"/>
    <w:uiPriority w:val="59"/>
    <w:rsid w:val="005E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2722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9</cp:revision>
  <dcterms:created xsi:type="dcterms:W3CDTF">2024-02-05T14:20:00Z</dcterms:created>
  <dcterms:modified xsi:type="dcterms:W3CDTF">2024-02-06T12:55:00Z</dcterms:modified>
</cp:coreProperties>
</file>