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22" w:rsidRDefault="00215822" w:rsidP="00215822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 xml:space="preserve">CONTRATO Nº </w:t>
      </w:r>
      <w:r w:rsidR="00F21427">
        <w:rPr>
          <w:rFonts w:eastAsia="NSimSun" w:cs="Calibri"/>
          <w:b/>
          <w:bCs/>
          <w:kern w:val="3"/>
          <w:lang w:eastAsia="zh-CN" w:bidi="hi-IN"/>
        </w:rPr>
        <w:t>14/2024</w:t>
      </w:r>
    </w:p>
    <w:p w:rsidR="00F21427" w:rsidRDefault="00F21427" w:rsidP="00215822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F21427" w:rsidRDefault="00F21427" w:rsidP="00215822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F21427" w:rsidRDefault="00F21427" w:rsidP="00F21427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>CONTRATO DE FORNECIMENTO QUE FAZEM ENTRE SI O MUNICIPIO DE LAJEADO DO BUGRE – RS, E A EMPRESA CCP COMERCIO E TRANSPORTES EIRELI.</w:t>
      </w:r>
    </w:p>
    <w:p w:rsidR="00F21427" w:rsidRDefault="00F21427" w:rsidP="00F21427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F21427" w:rsidRDefault="00F21427" w:rsidP="00F21427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F21427" w:rsidRDefault="00F21427" w:rsidP="00F21427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F21427" w:rsidRDefault="00F21427" w:rsidP="00F2142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empresa CCP COMERCIO E TRANSPORTE EIRELI, pessoa jurídica, inscrita no CNPJ sob nº 35.364.594/0001-02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>na cidade de Sarandi - RS, Endereço, ROD BR 386 SN, KM 135 Bairro Papagaio, Sarandi -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conforme Processo Administrativo 04/2024, Dispensa de Licitação LEI 14.133/2021, 04/2024 mediante as seguintes cláusulas e condições:</w:t>
      </w:r>
    </w:p>
    <w:p w:rsidR="00B645FE" w:rsidRDefault="00B645FE" w:rsidP="00F21427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sz w:val="28"/>
          <w:szCs w:val="28"/>
          <w:lang w:eastAsia="zh-CN" w:bidi="hi-IN"/>
        </w:rPr>
      </w:pPr>
    </w:p>
    <w:p w:rsidR="00B645FE" w:rsidRPr="00B645FE" w:rsidRDefault="00B645FE" w:rsidP="00B645FE">
      <w:pPr>
        <w:pStyle w:val="PargrafodaLista"/>
        <w:numPr>
          <w:ilvl w:val="0"/>
          <w:numId w:val="1"/>
        </w:num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Narrow" w:hAnsi="Calibri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CLÁUSULA PRIMEIRA – DO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B645FE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 w:rsidRPr="00B645FE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B645FE" w:rsidRDefault="00B645FE" w:rsidP="00215822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645FE" w:rsidRDefault="00B645FE" w:rsidP="00B64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Contratação de empresa para compra de peças e para realizar a manutenção de maquinas pesadas da frota de maquinas do Município de Lajeado do Bugre – RS.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45FE" w:rsidRPr="00215822" w:rsidRDefault="00B645FE" w:rsidP="00B645FE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850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993"/>
        <w:gridCol w:w="4252"/>
        <w:gridCol w:w="1842"/>
      </w:tblGrid>
      <w:tr w:rsidR="00876C4D" w:rsidRPr="00215822" w:rsidTr="00215822">
        <w:trPr>
          <w:trHeight w:hRule="exact" w:val="567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Pr="00215822" w:rsidRDefault="00876C4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215822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Pr="00215822" w:rsidRDefault="00876C4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215822"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Pr="00215822" w:rsidRDefault="00876C4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215822"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Pr="00215822" w:rsidRDefault="00876C4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215822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 w:rsidP="00215822">
            <w:pPr>
              <w:tabs>
                <w:tab w:val="left" w:pos="1974"/>
                <w:tab w:val="left" w:pos="3357"/>
              </w:tabs>
              <w:suppressAutoHyphens/>
              <w:autoSpaceDN w:val="0"/>
              <w:spacing w:after="0" w:line="240" w:lineRule="auto"/>
              <w:ind w:left="-294" w:hanging="1701"/>
              <w:jc w:val="both"/>
              <w:textAlignment w:val="baseline"/>
              <w:rPr>
                <w:rFonts w:eastAsia="Arial" w:cs="Calibri"/>
                <w:b/>
                <w:kern w:val="3"/>
                <w:lang w:eastAsia="zh-CN" w:bidi="hi-IN"/>
              </w:rPr>
            </w:pPr>
            <w:proofErr w:type="spellStart"/>
            <w:proofErr w:type="gramStart"/>
            <w:r w:rsidRPr="00215822">
              <w:rPr>
                <w:rFonts w:eastAsia="Arial" w:cs="Calibri"/>
                <w:b/>
                <w:kern w:val="3"/>
                <w:lang w:eastAsia="zh-CN" w:bidi="hi-IN"/>
              </w:rPr>
              <w:t>VVFVSV</w:t>
            </w:r>
            <w:r w:rsidR="00215822">
              <w:rPr>
                <w:rFonts w:eastAsia="Arial" w:cs="Calibri"/>
                <w:b/>
                <w:kern w:val="3"/>
                <w:lang w:eastAsia="zh-CN" w:bidi="hi-IN"/>
              </w:rPr>
              <w:t>nnn</w:t>
            </w:r>
            <w:proofErr w:type="spellEnd"/>
            <w:proofErr w:type="gramEnd"/>
          </w:p>
        </w:tc>
      </w:tr>
      <w:tr w:rsidR="00876C4D" w:rsidTr="00215822">
        <w:trPr>
          <w:trHeight w:hRule="exact" w:val="6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SINALEIRA COMPLETA ATRON PLCA INV 5153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876C4D" w:rsidRDefault="00876C4D" w:rsidP="00215822">
            <w:pPr>
              <w:spacing w:after="0" w:line="240" w:lineRule="auto"/>
              <w:ind w:hanging="1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R$ 788,00</w:t>
            </w:r>
          </w:p>
        </w:tc>
      </w:tr>
      <w:tr w:rsidR="00876C4D" w:rsidTr="00215822">
        <w:trPr>
          <w:trHeight w:hRule="exact" w:val="37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TRASEIRO ATRON PLCA INV 5153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R$ 420,00</w:t>
            </w:r>
          </w:p>
        </w:tc>
      </w:tr>
      <w:tr w:rsidR="00876C4D" w:rsidTr="00215822">
        <w:trPr>
          <w:trHeight w:hRule="exact" w:val="380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LAMPADA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21W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24V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R$ 588,00</w:t>
            </w:r>
          </w:p>
        </w:tc>
      </w:tr>
      <w:tr w:rsidR="00876C4D" w:rsidTr="00215822">
        <w:trPr>
          <w:trHeight w:hRule="exact" w:val="380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LAMPADA DE LED 24 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R$ 388,00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SIRENE ATRON PLCA INV 5153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R$ 165,00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SUPORTE SINALEIRA ATRON PLCA INV 5153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R$ 766,00</w:t>
            </w:r>
          </w:p>
        </w:tc>
      </w:tr>
      <w:tr w:rsidR="00876C4D" w:rsidTr="00215822">
        <w:trPr>
          <w:trHeight w:hRule="exact" w:val="714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7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ELETRICO DO MOTOR ORIGINAL CAMINHÃO VW 24280 PLACA IVT 2170.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R$ 783,00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SENSOR DE TEMPERATURA CAMINHÃO VW 24280 PLACA IVT 2170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R$ 668,00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SENSOR DE ROTAÇÃO CAMINHÃO VW 24280 PLACA IVT 2170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R$ 988,00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TRASEIRO CAMINHÃO VW 24280 PLACA IVT 2170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R$ 414,00</w:t>
            </w:r>
          </w:p>
        </w:tc>
      </w:tr>
      <w:tr w:rsidR="00876C4D" w:rsidTr="00215822">
        <w:trPr>
          <w:trHeight w:hRule="exact" w:val="67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SUPORTE PARA PRANCHA TRASEIRA CAMINHÃO VW 24280 PLACA IVT 2170.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R$ 690,00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SINALEIRA COMPLETA CAMINHÃO VW 24280 PLACA IVT 2170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R$ 694,00</w:t>
            </w:r>
          </w:p>
        </w:tc>
      </w:tr>
      <w:tr w:rsidR="00876C4D" w:rsidTr="00215822">
        <w:trPr>
          <w:trHeight w:hRule="exact" w:val="518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PRINCIPAL DO MOTOR CAMINHÃO VW 24280 PLACA IVT 2170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R$ 891,00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CANO DA LANÇA PRINCIPAL LIUGONG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R$ 3.950,00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CANO SOBRE A LANÇA LIUGONG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R$ 990,00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FAROLETE RG 140 NEW HOLLAND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R$ 1.544,00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FRONTAL ILUMINAÇÃO RG 140 NEW HOLLAND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R$ 564,00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TRAZEIRO ILUMINAÇÃO RG 140 NEW HOLLAND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R$ 486,00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BUZINA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R$ 485,00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BUZINA ORIGINAL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R$ 485,00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FAROLETE LED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R$ 1.544,00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SINALEIRA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R$ 356,00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SENSOR DO ACELERADOR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R$ 3.382,00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DE ILUMINAÇÃO DIANTEIRO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R$ 564,00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TRAZEIRO ILUMINAÇÃO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R$ 486,00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LUZ DO PAINEL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R$ 88,00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KIT DE REPARO ORG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R$ 223,00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HASTE ORING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R$ 1.464,00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BARRA SUPERIOR ORING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R$ 4.171,00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BARRA INFERIOR ORING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R$ 8.368,00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PARAFUSO 5/8 X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1/4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R$ 132,00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PORCA 5/8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SUPORTE ORING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R$ 2.158,00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CHAPA DE DESGASTE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</w:t>
            </w:r>
            <w:r w:rsidR="005C7540" w:rsidRPr="00215822">
              <w:rPr>
                <w:rFonts w:ascii="Arial" w:hAnsi="Arial" w:cs="Arial"/>
                <w:color w:val="000000"/>
                <w:sz w:val="21"/>
                <w:szCs w:val="21"/>
              </w:rPr>
              <w:t>396,00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CHAPA DE DESGASTE CASE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R$ 474,00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ESPAÇADOR ORING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R$ 369,00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CALÇO ORING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R$ 231,00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CONJUNTO PLACA DE DESGASTE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R$ 534,00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VALVULA COMPLETA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R$ 5.346,00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VALVULA DE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R$ 2.752,00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PLACA DE FUNDO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R$ 1.376,00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EMBOCO ORING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R$ 277,00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CONJUNTO DE ROLAMENTO ORIG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R$ 512,00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HASTE DESLOCAMENTO LATERAL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R$ 2.356,00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KIT REPARO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R$ 488,00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GUIA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R$ 196,00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ARAME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R$ 51,00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PARAFUSO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R$ 396,00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PARAFUSO BLOCO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R$ 568,00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BUCHA PARAFUSO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5C75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R$ 80,00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ACUMULADOR CASE 845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R$ 1.951,00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TUBO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R$ 1.816,00</w:t>
            </w:r>
          </w:p>
        </w:tc>
      </w:tr>
      <w:tr w:rsidR="00876C4D" w:rsidTr="0021582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VALVULA HIDRAULICA CASE 845B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R$ 2.880,00</w:t>
            </w:r>
          </w:p>
        </w:tc>
      </w:tr>
      <w:tr w:rsidR="00876C4D" w:rsidTr="00215822">
        <w:trPr>
          <w:trHeight w:hRule="exact" w:val="910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MÃO DE OBRA CONSERTO DO SISTEMA ELÉTRICO DO EQUIPAMENTO DE ACORDO COM AS ESPECIFICAÇÕES TÉCNICAS DO FABRICANTE COM RIVISÃO ELÉTRICA COMPELTA DO SISTEMA ELÉTRICOS.</w:t>
            </w:r>
          </w:p>
          <w:p w:rsidR="00876C4D" w:rsidRDefault="00876C4D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R$ 1.780,00</w:t>
            </w:r>
          </w:p>
        </w:tc>
      </w:tr>
      <w:tr w:rsidR="00876C4D" w:rsidTr="00215822">
        <w:trPr>
          <w:trHeight w:hRule="exact" w:val="916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DESLOCAMENTO MÃO DE OBRA CONSERTO SISTEMA ELÉTRICO DO CAMINÃO VW 24280 PLACA IVT 2170 COM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MANUTENÇÕES EM GERAL EM TODA A PARTE ELÉTRICA FUNCIONAL DO CAMINHÃO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876C4D" w:rsidRDefault="00876C4D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R$ 3.460,00</w:t>
            </w:r>
          </w:p>
        </w:tc>
      </w:tr>
      <w:tr w:rsidR="00876C4D" w:rsidTr="00215822">
        <w:trPr>
          <w:trHeight w:hRule="exact" w:val="9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SERVIÇO E DESLOCAMENTO MÃO DE OBRA CONSERTO SISTEMAS ELÉTRICOS MOTONIVELADORA RG 140 NEW HOLLAND.</w:t>
            </w:r>
          </w:p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R$ 1.720,00</w:t>
            </w:r>
          </w:p>
        </w:tc>
      </w:tr>
      <w:tr w:rsidR="00876C4D" w:rsidTr="00215822">
        <w:trPr>
          <w:trHeight w:hRule="exact" w:val="1055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DE DESLOCAMENTO E MÃO DE OBRA PARA MANUTENÇÃO E CONSERTO MOTONIVELADORA CASE 845 B COM ESPECIFICAÇÕES TECNICAS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DO FABRICANTE EFETUAR TESTE ECM DO MOTOR E DO ECM DA TRANSMISSÃO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876C4D" w:rsidRDefault="00876C4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R$ 3.870,00</w:t>
            </w:r>
          </w:p>
        </w:tc>
      </w:tr>
      <w:tr w:rsidR="00876C4D" w:rsidTr="00215822">
        <w:trPr>
          <w:trHeight w:hRule="exact" w:val="118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MANUTENÇÃO CONSERTO SISTEMA DE GIRO, SISTEMA DE DESLOCAMENTO LATERAL MANUTENÇÃO E CONCERTO EM GERAL EM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TODO OS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SISTAM DO EQUIPAMENTO MOTONIVELADORA CASE 845B.</w:t>
            </w:r>
          </w:p>
          <w:p w:rsidR="00876C4D" w:rsidRDefault="00876C4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R$ 8.430,00</w:t>
            </w:r>
          </w:p>
        </w:tc>
      </w:tr>
      <w:tr w:rsidR="00876C4D" w:rsidTr="00215822">
        <w:trPr>
          <w:trHeight w:hRule="exact" w:val="1337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REALIZAR SOLDA ESPECIAL DE CO CHASSI COM MATERIAL E EQUIPAMENTOS, RECUPERAR E REFAZER ROSCAS DANIFICADAS DO SISTEMA DE GIRO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CIRCULO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 DO SISTEAM DE DESLOCAMENTO LATERAL, REALIZAR SOLDA NO SISTEMA DE LEVANTAMENTO DA MOTONIVELADORA CASE 845B.</w:t>
            </w:r>
          </w:p>
          <w:p w:rsidR="00876C4D" w:rsidRDefault="00876C4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R$ 4.760,00</w:t>
            </w:r>
          </w:p>
        </w:tc>
      </w:tr>
      <w:tr w:rsidR="00876C4D" w:rsidTr="00215822">
        <w:trPr>
          <w:trHeight w:hRule="exact" w:val="917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REGULAR COMANDO HIDRAULICO, AJUSTES NECESARIOS NO EQUIPAMENTO COM ORIENTAÇÃO DO FABRICANTE MOTONIVELADORA CASE 845B.</w:t>
            </w:r>
          </w:p>
          <w:p w:rsidR="00876C4D" w:rsidRDefault="00876C4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R$ 2.920,00</w:t>
            </w:r>
          </w:p>
        </w:tc>
      </w:tr>
      <w:tr w:rsidR="00876C4D" w:rsidTr="00215822">
        <w:trPr>
          <w:trHeight w:hRule="exact" w:val="1065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76C4D" w:rsidRDefault="00876C4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6C4D" w:rsidRDefault="00876C4D">
            <w:pPr>
              <w:jc w:val="center"/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6C4D" w:rsidRDefault="00876C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E DESLOCAMENTO MÃO DE OBRA CENCERTO SISTEMA HIDRAULICO ESCAVADEIRA LIUGONG MEDIR PRESÃO DE BOMBAS HIDRAULICAS COM MANUTENÇÃO E REGULAGEM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DAS MESMAS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876C4D" w:rsidRDefault="00876C4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D" w:rsidRPr="00215822" w:rsidRDefault="0021582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15822">
              <w:rPr>
                <w:rFonts w:ascii="Arial" w:hAnsi="Arial" w:cs="Arial"/>
                <w:color w:val="000000"/>
                <w:sz w:val="21"/>
                <w:szCs w:val="21"/>
              </w:rPr>
              <w:t xml:space="preserve"> R$ 4.850,00</w:t>
            </w:r>
          </w:p>
        </w:tc>
      </w:tr>
    </w:tbl>
    <w:p w:rsidR="00B645FE" w:rsidRDefault="00B645FE" w:rsidP="00B645FE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215822" w:rsidRDefault="00215822" w:rsidP="00B645FE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215822" w:rsidRPr="00215822" w:rsidRDefault="00215822" w:rsidP="00215822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</w:pPr>
      <w:r w:rsidRPr="00215822"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  <w:t>TOTAL</w:t>
      </w:r>
      <w:r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  <w:t xml:space="preserve"> GERAL</w:t>
      </w:r>
      <w:r w:rsidRPr="00215822"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  <w:t>: 94.566,00</w:t>
      </w:r>
    </w:p>
    <w:p w:rsidR="00215822" w:rsidRDefault="00215822" w:rsidP="00B645FE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215822" w:rsidRDefault="00215822" w:rsidP="00B645FE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 CLÁUSULA SEGUNDA - DA VIGÊNCIA E PRORROGAÇÃO</w:t>
      </w:r>
    </w:p>
    <w:p w:rsidR="00215822" w:rsidRDefault="00215822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3. CLÁUSULA TERCEIRA – DA CLASSIFICAÇÃO DOS BENS/ SERVIÇOS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4. CLÁUSULA QUARTA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NECESSIDADE DA CONTRATAÇÃO</w:t>
      </w:r>
    </w:p>
    <w:p w:rsidR="00B645FE" w:rsidRDefault="00B645FE" w:rsidP="00B64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contratação de empresa para a referida prestação de serviço e venda de peças se faz necessária para manutenção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das nossa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maquinas, uma vez que as mesmas estão em trabalho acelerado em virtude dos fortes temporais que atingiram nossa região nos últimos 2 meses, fato que gerou decreto de emergência com reconhecimento estadual e federal, assim sendo nossas estradas e acessos estão muito prejudicados exigindo um trabalho intenso de nossas equipes e maquinas, desta forma ocasionando um desgaste excessivo com quebra de diversas maquinas e equipamentos</w:t>
      </w:r>
      <w:r>
        <w:rPr>
          <w:rFonts w:ascii="Caibri" w:hAnsi="Caibri" w:cs="Arial"/>
          <w:color w:val="040C28"/>
        </w:rPr>
        <w:t>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5. CLÁUSULA QUINTA – DA DESCRIÇÃO DA SOLUÇÃO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color w:val="000000"/>
          <w:kern w:val="3"/>
          <w:lang w:eastAsia="zh-CN" w:bidi="hi-IN"/>
        </w:rPr>
      </w:pP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B645FE" w:rsidRDefault="00B645FE" w:rsidP="00B645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lastRenderedPageBreak/>
        <w:t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os serviços.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6. CLÁUSULA SEXTA – DOS REQUISITOS DA CONTRATAÇÃO</w:t>
      </w:r>
    </w:p>
    <w:p w:rsidR="00B645FE" w:rsidRDefault="00B645FE" w:rsidP="00B645F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B645FE" w:rsidRDefault="00B645FE" w:rsidP="00B645FE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A empresa contratada deve ter mais de </w:t>
      </w:r>
      <w:proofErr w:type="gramStart"/>
      <w:r>
        <w:rPr>
          <w:rFonts w:eastAsia="Arial Narrow" w:cs="Calibri"/>
          <w:kern w:val="3"/>
          <w:lang w:eastAsia="zh-CN" w:bidi="hi-IN"/>
        </w:rPr>
        <w:t>4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fábrica, </w:t>
      </w:r>
      <w:r>
        <w:rPr>
          <w:rFonts w:eastAsia="NSimSun" w:cs="Calibri"/>
          <w:iCs/>
          <w:kern w:val="3"/>
          <w:lang w:eastAsia="zh-CN" w:bidi="hi-IN"/>
        </w:rPr>
        <w:t>apresentar atestado de capacidade técnica onde já tenha prestado serviços mecânicos em maquinas pesadas em pelo menos dois órgão públicos nos últimos 12 meses</w:t>
      </w:r>
      <w:r>
        <w:rPr>
          <w:rFonts w:eastAsia="Arial Narrow" w:cs="Calibri"/>
          <w:kern w:val="3"/>
          <w:lang w:eastAsia="zh-CN" w:bidi="hi-IN"/>
        </w:rPr>
        <w:t>, executar os serviços junto ao parque de maquinas da prefeitura Municipal de Lajeado do Bugre – RS, quando da demanda de deslocamento de maquinas se necessário fica de responsabilidade da empresa contratada e sem custo adicional para a administração municipal.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B645FE" w:rsidTr="00B645FE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5FE" w:rsidRDefault="00B645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 CLÁUSULA SÉTIMA - DA DESCRIÇÃO DOS SERVIÇOS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Secretário de Obras Diego Cardoso Brizola. Os serviços serão prestados de forma parcelada conforme demanda.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 CLÁUSULA OITAVA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 local da prestação de serviço será em Lajeado do Bugre – RS nas dependências da Administração Pública Municipal, Parque de Maquinas do Município, ou em local onde está definir, solicitar conforme demanda.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serviços deste Termo de Referência deverá ser efetuados, em dias úteis, das </w:t>
      </w:r>
      <w:proofErr w:type="gramStart"/>
      <w:r>
        <w:rPr>
          <w:rFonts w:eastAsia="Arial Narrow" w:cs="Calibri"/>
          <w:kern w:val="3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 CLÁUSULA NONA – DAS OBRIGAÇÕES DA CONTRATANTE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prestar os serviços no prazo e condições estabelecidas neste Termo de Referência;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eastAsia="Arial Narrow" w:cs="Calibri"/>
          <w:kern w:val="3"/>
          <w:lang w:eastAsia="zh-CN" w:bidi="hi-IN"/>
        </w:rPr>
        <w:t>serviços prestado</w:t>
      </w:r>
      <w:proofErr w:type="gramEnd"/>
      <w:r>
        <w:rPr>
          <w:rFonts w:eastAsia="Arial Narrow" w:cs="Calibri"/>
          <w:kern w:val="3"/>
          <w:lang w:eastAsia="zh-CN" w:bidi="hi-IN"/>
        </w:rPr>
        <w:t>, para que seja substituído, reparado ou corrigido;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 CLÁUSULA DÉCIMA – DAS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dar garantia de serviço e peças.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>g)</w:t>
      </w:r>
      <w:r>
        <w:rPr>
          <w:rFonts w:eastAsia="Arial Narrow" w:cs="Calibri"/>
          <w:kern w:val="3"/>
          <w:lang w:eastAsia="zh-CN" w:bidi="hi-IN"/>
        </w:rPr>
        <w:t xml:space="preserve"> executar o serviço no máximo em 12 horas após demanda.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 CLÁUSULA DÉCIMA PRIMEIRA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 CLÁUSULA DÉCIMA SEGUNDA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lastRenderedPageBreak/>
        <w:t xml:space="preserve">O controle a fiscalização dos itens a serem entregues e os serviços prestados é de responsabilidade da Sr. Diego Cardoso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Brisola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>, Secretário de Obras, fone contato 55 9 8427 6029.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Diego Cardosos Brisola, Secretario de Obras, telefone </w:t>
      </w:r>
      <w:r>
        <w:rPr>
          <w:rFonts w:eastAsia="Arial Narrow" w:cs="Calibri"/>
          <w:iCs/>
          <w:kern w:val="3"/>
          <w:lang w:eastAsia="zh-CN" w:bidi="hi-IN"/>
        </w:rPr>
        <w:t>55 9 8427 6029</w:t>
      </w:r>
      <w:r>
        <w:rPr>
          <w:rFonts w:eastAsia="Arial" w:cs="Calibri"/>
          <w:kern w:val="3"/>
          <w:lang w:val="pt-PT" w:eastAsia="ar-SA" w:bidi="hi-IN"/>
        </w:rPr>
        <w:t xml:space="preserve">. </w:t>
      </w:r>
    </w:p>
    <w:p w:rsidR="00B645FE" w:rsidRDefault="00B645FE" w:rsidP="00B645FE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kern w:val="3"/>
          <w:lang w:val="pt-PT" w:eastAsia="ar-SA" w:bidi="hi-IN"/>
        </w:rPr>
        <w:tab/>
      </w: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 CLÁUSULA DÉCIMA QUARTA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DOS PROCEDIMENTOS DE TESTES E INSPEÇÕES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14.1. </w:t>
      </w:r>
      <w:r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15. CLÁUSULA DÉCIMA QUINTA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serviços prestados será com a simples conferência.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>O pagamento somente será efetuado apos os 10 dias da entrega dos serviços devidamente funcionando.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16. CLÁUSULA DÉCIMA SEXTA - DAS SANÇÕES ADMINISTRATIVAS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XI praticar atos ilícitos com vistas a frustrar os objetivos da licitação;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17. CLÁUSULA DÉCIMA SÉTIMA - DAS PENALIDADES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B645FE" w:rsidRPr="00102DAB" w:rsidRDefault="00B645FE" w:rsidP="00102DA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18. CLÁUSULA DÉCIMA OITAVA</w:t>
      </w:r>
      <w:r w:rsidR="00102DAB">
        <w:rPr>
          <w:rFonts w:eastAsia="Arial Narrow" w:cs="Calibri"/>
          <w:b/>
          <w:bCs/>
          <w:kern w:val="3"/>
          <w:lang w:eastAsia="zh-CN" w:bidi="hi-IN"/>
        </w:rPr>
        <w:t xml:space="preserve"> - DO PAGAMENTO E REAJUSTAMENTO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45FE" w:rsidRDefault="00B645FE" w:rsidP="00B645F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19. CLÁUSULA DÉCIMA NONA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B645FE" w:rsidRDefault="00B645FE" w:rsidP="00B645F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dos serviços já prestados.  </w:t>
      </w:r>
    </w:p>
    <w:p w:rsidR="00102DAB" w:rsidRDefault="00102DAB" w:rsidP="00102DAB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102DAB" w:rsidRDefault="00102DAB" w:rsidP="00102DAB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20. </w:t>
      </w:r>
      <w:r>
        <w:rPr>
          <w:rFonts w:ascii="Arial" w:hAnsi="Arial" w:cs="Arial"/>
          <w:b/>
        </w:rPr>
        <w:t>CLÁUSULA VIGÉSIMA</w:t>
      </w:r>
      <w:r>
        <w:rPr>
          <w:rFonts w:ascii="Arial" w:hAnsi="Arial" w:cs="Arial"/>
          <w:b/>
          <w:sz w:val="23"/>
          <w:szCs w:val="23"/>
        </w:rPr>
        <w:t xml:space="preserve">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102DAB" w:rsidRDefault="00102DAB">
      <w:r>
        <w:t xml:space="preserve"> </w:t>
      </w:r>
    </w:p>
    <w:p w:rsidR="00102DAB" w:rsidRDefault="00102DAB" w:rsidP="00102DAB">
      <w:pPr>
        <w:jc w:val="center"/>
      </w:pPr>
      <w:r w:rsidRPr="00C97661">
        <w:t>Lajeado do Bugre – RS, 16 Fevereiro de 2024.</w:t>
      </w:r>
    </w:p>
    <w:p w:rsidR="00C97661" w:rsidRDefault="00C97661" w:rsidP="00102DAB">
      <w:pPr>
        <w:jc w:val="center"/>
      </w:pPr>
    </w:p>
    <w:p w:rsidR="00C97661" w:rsidRDefault="00C97661" w:rsidP="00C97661">
      <w:pPr>
        <w:rPr>
          <w:b/>
        </w:rPr>
      </w:pPr>
      <w:r w:rsidRPr="00C97661">
        <w:rPr>
          <w:b/>
        </w:rPr>
        <w:t>_____________________</w:t>
      </w:r>
      <w:r>
        <w:rPr>
          <w:b/>
        </w:rPr>
        <w:t>__                                            ________________________</w:t>
      </w:r>
    </w:p>
    <w:p w:rsidR="001332E8" w:rsidRDefault="00C97661" w:rsidP="00C97661">
      <w:pPr>
        <w:rPr>
          <w:b/>
        </w:rPr>
      </w:pPr>
      <w:r>
        <w:rPr>
          <w:b/>
        </w:rPr>
        <w:t xml:space="preserve">Ronaldo Machado da Silva                                              </w:t>
      </w:r>
      <w:r w:rsidR="001332E8">
        <w:rPr>
          <w:b/>
        </w:rPr>
        <w:t>Emerson Maricato Leite</w:t>
      </w:r>
      <w:r>
        <w:rPr>
          <w:b/>
        </w:rPr>
        <w:t xml:space="preserve"> </w:t>
      </w:r>
    </w:p>
    <w:p w:rsidR="00C97661" w:rsidRDefault="001332E8" w:rsidP="00C97661">
      <w:pPr>
        <w:rPr>
          <w:b/>
        </w:rPr>
      </w:pPr>
      <w:r>
        <w:rPr>
          <w:b/>
        </w:rPr>
        <w:t xml:space="preserve">                                                                                                CCP COMERCIO TRASPORTE EIRELI</w:t>
      </w:r>
      <w:r w:rsidR="00C97661">
        <w:rPr>
          <w:b/>
        </w:rPr>
        <w:tab/>
      </w:r>
    </w:p>
    <w:p w:rsidR="00C97661" w:rsidRPr="00C97661" w:rsidRDefault="00C97661" w:rsidP="00C97661">
      <w:pPr>
        <w:rPr>
          <w:i/>
        </w:rPr>
      </w:pPr>
      <w:r w:rsidRPr="00C97661">
        <w:rPr>
          <w:i/>
        </w:rPr>
        <w:t>CONTRATANTE</w:t>
      </w:r>
      <w:r w:rsidR="001332E8">
        <w:rPr>
          <w:i/>
        </w:rPr>
        <w:t xml:space="preserve">                                              </w:t>
      </w:r>
      <w:r w:rsidR="00320A57">
        <w:rPr>
          <w:i/>
        </w:rPr>
        <w:t xml:space="preserve">                     CONTRATADA</w:t>
      </w:r>
      <w:bookmarkStart w:id="0" w:name="_GoBack"/>
      <w:bookmarkEnd w:id="0"/>
    </w:p>
    <w:sectPr w:rsidR="00C97661" w:rsidRPr="00C976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AB" w:rsidRDefault="00102DAB" w:rsidP="00215822">
      <w:pPr>
        <w:spacing w:after="0" w:line="240" w:lineRule="auto"/>
      </w:pPr>
      <w:r>
        <w:separator/>
      </w:r>
    </w:p>
  </w:endnote>
  <w:endnote w:type="continuationSeparator" w:id="0">
    <w:p w:rsidR="00102DAB" w:rsidRDefault="00102DAB" w:rsidP="0021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AB" w:rsidRDefault="00102DAB" w:rsidP="00215822">
      <w:pPr>
        <w:spacing w:after="0" w:line="240" w:lineRule="auto"/>
      </w:pPr>
      <w:r>
        <w:separator/>
      </w:r>
    </w:p>
  </w:footnote>
  <w:footnote w:type="continuationSeparator" w:id="0">
    <w:p w:rsidR="00102DAB" w:rsidRDefault="00102DAB" w:rsidP="0021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DAB" w:rsidRDefault="00102DAB">
    <w:pPr>
      <w:pStyle w:val="Cabealho"/>
    </w:pPr>
  </w:p>
  <w:p w:rsidR="00102DAB" w:rsidRDefault="00102DAB">
    <w:pPr>
      <w:pStyle w:val="Cabealho"/>
    </w:pPr>
  </w:p>
  <w:p w:rsidR="00102DAB" w:rsidRDefault="00102DAB">
    <w:pPr>
      <w:pStyle w:val="Cabealho"/>
    </w:pPr>
  </w:p>
  <w:p w:rsidR="00102DAB" w:rsidRDefault="00102DAB">
    <w:pPr>
      <w:pStyle w:val="Cabealho"/>
    </w:pPr>
  </w:p>
  <w:p w:rsidR="00102DAB" w:rsidRDefault="00102DAB">
    <w:pPr>
      <w:pStyle w:val="Cabealho"/>
    </w:pPr>
  </w:p>
  <w:p w:rsidR="00102DAB" w:rsidRDefault="00102DAB">
    <w:pPr>
      <w:pStyle w:val="Cabealho"/>
    </w:pPr>
  </w:p>
  <w:p w:rsidR="00102DAB" w:rsidRDefault="00102D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32E"/>
    <w:multiLevelType w:val="hybridMultilevel"/>
    <w:tmpl w:val="349A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FE"/>
    <w:rsid w:val="00102DAB"/>
    <w:rsid w:val="001332E8"/>
    <w:rsid w:val="00215822"/>
    <w:rsid w:val="00320A57"/>
    <w:rsid w:val="005C7540"/>
    <w:rsid w:val="00876C4D"/>
    <w:rsid w:val="00B645FE"/>
    <w:rsid w:val="00C97661"/>
    <w:rsid w:val="00E9144D"/>
    <w:rsid w:val="00F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B645FE"/>
  </w:style>
  <w:style w:type="paragraph" w:styleId="PargrafodaLista">
    <w:name w:val="List Paragraph"/>
    <w:basedOn w:val="Normal"/>
    <w:link w:val="PargrafodaListaChar"/>
    <w:uiPriority w:val="34"/>
    <w:qFormat/>
    <w:rsid w:val="00B645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B645FE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B645FE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15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82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5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822"/>
    <w:rPr>
      <w:rFonts w:ascii="Calibri" w:eastAsia="Calibri" w:hAnsi="Calibri" w:cs="Times New Roman"/>
    </w:rPr>
  </w:style>
  <w:style w:type="paragraph" w:customStyle="1" w:styleId="Standard">
    <w:name w:val="Standard"/>
    <w:rsid w:val="00102DAB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B645FE"/>
  </w:style>
  <w:style w:type="paragraph" w:styleId="PargrafodaLista">
    <w:name w:val="List Paragraph"/>
    <w:basedOn w:val="Normal"/>
    <w:link w:val="PargrafodaListaChar"/>
    <w:uiPriority w:val="34"/>
    <w:qFormat/>
    <w:rsid w:val="00B645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B645FE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B645FE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15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82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5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822"/>
    <w:rPr>
      <w:rFonts w:ascii="Calibri" w:eastAsia="Calibri" w:hAnsi="Calibri" w:cs="Times New Roman"/>
    </w:rPr>
  </w:style>
  <w:style w:type="paragraph" w:customStyle="1" w:styleId="Standard">
    <w:name w:val="Standard"/>
    <w:rsid w:val="00102DAB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3370</Words>
  <Characters>18199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2024-02-16T13:24:00Z</dcterms:created>
  <dcterms:modified xsi:type="dcterms:W3CDTF">2024-02-19T11:49:00Z</dcterms:modified>
</cp:coreProperties>
</file>