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E1" w:rsidRDefault="008437E1" w:rsidP="00571125">
      <w:pPr>
        <w:spacing w:after="0" w:line="360" w:lineRule="auto"/>
        <w:ind w:left="0" w:right="0" w:firstLine="0"/>
        <w:rPr>
          <w:rFonts w:ascii="Arial" w:eastAsia="Times New Roman" w:hAnsi="Arial" w:cs="Arial"/>
          <w:b/>
          <w:bCs/>
          <w:sz w:val="23"/>
          <w:szCs w:val="23"/>
        </w:rPr>
      </w:pPr>
    </w:p>
    <w:p w:rsidR="008437E1" w:rsidRDefault="008437E1" w:rsidP="00571125">
      <w:pPr>
        <w:spacing w:after="0" w:line="360" w:lineRule="auto"/>
        <w:ind w:right="708"/>
        <w:jc w:val="left"/>
        <w:rPr>
          <w:rFonts w:ascii="Arial" w:eastAsia="Times New Roman" w:hAnsi="Arial" w:cs="Arial"/>
          <w:b/>
          <w:bCs/>
          <w:sz w:val="23"/>
          <w:szCs w:val="23"/>
        </w:rPr>
      </w:pPr>
      <w:r>
        <w:rPr>
          <w:rFonts w:ascii="Arial" w:eastAsia="Times New Roman" w:hAnsi="Arial" w:cs="Arial"/>
          <w:b/>
          <w:bCs/>
          <w:sz w:val="23"/>
          <w:szCs w:val="23"/>
        </w:rPr>
        <w:t>CONTRATO Nº 21/2025.</w:t>
      </w:r>
    </w:p>
    <w:p w:rsidR="008437E1" w:rsidRDefault="008437E1" w:rsidP="00571125">
      <w:pPr>
        <w:spacing w:after="0" w:line="360" w:lineRule="auto"/>
        <w:ind w:left="4395" w:right="566" w:firstLine="0"/>
        <w:jc w:val="left"/>
        <w:rPr>
          <w:rFonts w:ascii="Arial" w:eastAsia="Times New Roman" w:hAnsi="Arial" w:cs="Arial"/>
          <w:b/>
          <w:bCs/>
          <w:sz w:val="23"/>
          <w:szCs w:val="23"/>
        </w:rPr>
      </w:pPr>
      <w:r>
        <w:rPr>
          <w:rFonts w:ascii="Arial" w:eastAsia="Times New Roman" w:hAnsi="Arial" w:cs="Arial"/>
          <w:b/>
          <w:bCs/>
          <w:sz w:val="23"/>
          <w:szCs w:val="23"/>
        </w:rPr>
        <w:t>CONTRATO DE FORNECIMENTO QUE FAZEM ENTRE SI A PREFEITURA MUNICIPAL DE LAJEADO DO BUGRE, E A EMPRESA DELBA COMERCIAL AGRICOLA EIRELI.</w:t>
      </w:r>
    </w:p>
    <w:p w:rsidR="008437E1" w:rsidRDefault="008437E1" w:rsidP="008437E1">
      <w:pPr>
        <w:spacing w:after="0" w:line="360" w:lineRule="auto"/>
        <w:ind w:left="0" w:right="0" w:firstLine="0"/>
        <w:rPr>
          <w:rFonts w:ascii="Arial" w:eastAsia="Times New Roman" w:hAnsi="Arial" w:cs="Arial"/>
          <w:b/>
          <w:bCs/>
          <w:sz w:val="23"/>
          <w:szCs w:val="23"/>
        </w:rPr>
      </w:pPr>
    </w:p>
    <w:p w:rsidR="00FD10FC" w:rsidRDefault="008437E1" w:rsidP="00571125">
      <w:pPr>
        <w:spacing w:after="0" w:line="360" w:lineRule="auto"/>
        <w:ind w:right="708"/>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sidRPr="008437E1">
        <w:rPr>
          <w:rFonts w:ascii="Arial" w:eastAsia="Times New Roman" w:hAnsi="Arial" w:cs="Arial"/>
          <w:b/>
          <w:sz w:val="23"/>
          <w:szCs w:val="23"/>
        </w:rPr>
        <w:t>DELBA COMERCIAL AGRICOLA EIRELI</w:t>
      </w:r>
      <w:r w:rsidR="004658B2">
        <w:rPr>
          <w:rFonts w:ascii="Arial" w:eastAsia="Times New Roman" w:hAnsi="Arial" w:cs="Arial"/>
          <w:sz w:val="23"/>
          <w:szCs w:val="23"/>
        </w:rPr>
        <w:t>, com sede a AV. Siqueira Campos</w:t>
      </w:r>
      <w:r>
        <w:rPr>
          <w:rFonts w:ascii="Arial" w:eastAsia="Times New Roman" w:hAnsi="Arial" w:cs="Arial"/>
          <w:sz w:val="23"/>
          <w:szCs w:val="23"/>
        </w:rPr>
        <w:t>,</w:t>
      </w:r>
      <w:r w:rsidR="004658B2">
        <w:rPr>
          <w:rFonts w:ascii="Arial" w:eastAsia="Times New Roman" w:hAnsi="Arial" w:cs="Arial"/>
          <w:sz w:val="23"/>
          <w:szCs w:val="23"/>
        </w:rPr>
        <w:t xml:space="preserve"> Bairro Santa Cruz, Nº 94 na cidade de Itapira - SP</w:t>
      </w:r>
      <w:proofErr w:type="gramStart"/>
      <w:r>
        <w:rPr>
          <w:rFonts w:ascii="Arial" w:eastAsia="Times New Roman" w:hAnsi="Arial" w:cs="Arial"/>
          <w:sz w:val="23"/>
          <w:szCs w:val="23"/>
        </w:rPr>
        <w:t>.,</w:t>
      </w:r>
      <w:proofErr w:type="gramEnd"/>
      <w:r>
        <w:rPr>
          <w:rFonts w:ascii="Arial" w:eastAsia="Times New Roman" w:hAnsi="Arial" w:cs="Arial"/>
          <w:sz w:val="23"/>
          <w:szCs w:val="23"/>
        </w:rPr>
        <w:t xml:space="preserve"> inscrita no CNP</w:t>
      </w:r>
      <w:r w:rsidR="004658B2">
        <w:rPr>
          <w:rFonts w:ascii="Arial" w:eastAsia="Times New Roman" w:hAnsi="Arial" w:cs="Arial"/>
          <w:sz w:val="23"/>
          <w:szCs w:val="23"/>
        </w:rPr>
        <w:t xml:space="preserve">J sob nº 03.138.598/0001-78 </w:t>
      </w:r>
      <w:r>
        <w:rPr>
          <w:rFonts w:ascii="Arial" w:eastAsia="Times New Roman" w:hAnsi="Arial" w:cs="Arial"/>
          <w:sz w:val="23"/>
          <w:szCs w:val="23"/>
        </w:rPr>
        <w:t xml:space="preserve"> representado neste ato pelo seu sócio/ administrador </w:t>
      </w:r>
      <w:proofErr w:type="spellStart"/>
      <w:r w:rsidR="004658B2">
        <w:rPr>
          <w:rFonts w:ascii="Arial" w:eastAsia="Times New Roman" w:hAnsi="Arial" w:cs="Arial"/>
          <w:sz w:val="23"/>
          <w:szCs w:val="23"/>
        </w:rPr>
        <w:t>Delba</w:t>
      </w:r>
      <w:proofErr w:type="spellEnd"/>
      <w:r w:rsidR="004658B2">
        <w:rPr>
          <w:rFonts w:ascii="Arial" w:eastAsia="Times New Roman" w:hAnsi="Arial" w:cs="Arial"/>
          <w:sz w:val="23"/>
          <w:szCs w:val="23"/>
        </w:rPr>
        <w:t xml:space="preserve"> Vicentini </w:t>
      </w:r>
      <w:proofErr w:type="spellStart"/>
      <w:r w:rsidR="004658B2">
        <w:rPr>
          <w:rFonts w:ascii="Arial" w:eastAsia="Times New Roman" w:hAnsi="Arial" w:cs="Arial"/>
          <w:sz w:val="23"/>
          <w:szCs w:val="23"/>
        </w:rPr>
        <w:t>Cremasco</w:t>
      </w:r>
      <w:proofErr w:type="spellEnd"/>
      <w:r w:rsidR="004658B2">
        <w:rPr>
          <w:rFonts w:ascii="Arial" w:eastAsia="Times New Roman" w:hAnsi="Arial" w:cs="Arial"/>
          <w:sz w:val="23"/>
          <w:szCs w:val="23"/>
        </w:rPr>
        <w:t>, brasileira, casada, empresária,</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015/2024</w:t>
      </w:r>
      <w:r>
        <w:rPr>
          <w:rFonts w:ascii="Arial" w:eastAsia="Times New Roman" w:hAnsi="Arial" w:cs="Arial"/>
          <w:sz w:val="23"/>
          <w:szCs w:val="23"/>
        </w:rPr>
        <w:t>, e pelos termos da propo</w:t>
      </w:r>
      <w:r w:rsidR="004658B2">
        <w:rPr>
          <w:rFonts w:ascii="Arial" w:eastAsia="Times New Roman" w:hAnsi="Arial" w:cs="Arial"/>
          <w:sz w:val="23"/>
          <w:szCs w:val="23"/>
        </w:rPr>
        <w:t xml:space="preserve">sta datada de </w:t>
      </w:r>
      <w:r w:rsidR="00FD10FC">
        <w:rPr>
          <w:rFonts w:ascii="Arial" w:eastAsia="Times New Roman" w:hAnsi="Arial" w:cs="Arial"/>
          <w:sz w:val="23"/>
          <w:szCs w:val="23"/>
        </w:rPr>
        <w:t>16/01/25</w:t>
      </w:r>
    </w:p>
    <w:p w:rsidR="008437E1" w:rsidRDefault="008437E1" w:rsidP="00571125">
      <w:pPr>
        <w:tabs>
          <w:tab w:val="left" w:pos="8647"/>
        </w:tabs>
        <w:spacing w:after="0" w:line="360" w:lineRule="auto"/>
        <w:ind w:right="566"/>
        <w:rPr>
          <w:rFonts w:ascii="Arial" w:eastAsia="Times New Roman" w:hAnsi="Arial" w:cs="Arial"/>
          <w:sz w:val="23"/>
          <w:szCs w:val="23"/>
        </w:rPr>
      </w:pPr>
      <w:proofErr w:type="gramStart"/>
      <w:r>
        <w:rPr>
          <w:rFonts w:ascii="Arial" w:eastAsia="Times New Roman" w:hAnsi="Arial" w:cs="Arial"/>
          <w:sz w:val="23"/>
          <w:szCs w:val="23"/>
        </w:rPr>
        <w:t>e</w:t>
      </w:r>
      <w:proofErr w:type="gramEnd"/>
      <w:r>
        <w:rPr>
          <w:rFonts w:ascii="Arial" w:eastAsia="Times New Roman" w:hAnsi="Arial" w:cs="Arial"/>
          <w:sz w:val="23"/>
          <w:szCs w:val="23"/>
        </w:rPr>
        <w:t xml:space="preserve"> pelas cláusulas a seguir expressas, definidoras dos direitos, obrigações e responsabilidades das partes.</w:t>
      </w:r>
    </w:p>
    <w:p w:rsidR="000F47BE" w:rsidRDefault="000F47BE" w:rsidP="000F47BE">
      <w:pPr>
        <w:spacing w:after="0" w:line="360" w:lineRule="auto"/>
        <w:ind w:left="0" w:right="0" w:firstLine="0"/>
        <w:rPr>
          <w:rFonts w:ascii="Arial" w:eastAsia="Times New Roman" w:hAnsi="Arial" w:cs="Arial"/>
          <w:sz w:val="23"/>
          <w:szCs w:val="23"/>
        </w:rPr>
      </w:pPr>
    </w:p>
    <w:p w:rsidR="008437E1" w:rsidRDefault="008437E1" w:rsidP="000F47B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FD10FC" w:rsidRDefault="008437E1" w:rsidP="000F47BE">
      <w:pPr>
        <w:rPr>
          <w:rFonts w:ascii="Arial" w:eastAsia="Times New Roman" w:hAnsi="Arial" w:cs="Arial"/>
          <w:sz w:val="23"/>
          <w:szCs w:val="23"/>
        </w:rPr>
      </w:pPr>
      <w:r>
        <w:rPr>
          <w:rFonts w:ascii="Arial" w:eastAsia="Times New Roman" w:hAnsi="Arial" w:cs="Arial"/>
          <w:sz w:val="23"/>
          <w:szCs w:val="23"/>
        </w:rPr>
        <w:t>O presente processo tem por objeto, a Aquisição de Equipamentos para a Secretaria de Agricultura do</w:t>
      </w:r>
      <w:r w:rsidR="000F47BE">
        <w:rPr>
          <w:rFonts w:ascii="Arial" w:eastAsia="Times New Roman" w:hAnsi="Arial" w:cs="Arial"/>
          <w:sz w:val="23"/>
          <w:szCs w:val="23"/>
        </w:rPr>
        <w:t xml:space="preserve"> Município de Lajeado do Bugre.</w:t>
      </w:r>
    </w:p>
    <w:tbl>
      <w:tblPr>
        <w:tblStyle w:val="Tabelacomgrade"/>
        <w:tblW w:w="9170" w:type="dxa"/>
        <w:tblInd w:w="10" w:type="dxa"/>
        <w:tblLayout w:type="fixed"/>
        <w:tblLook w:val="04A0" w:firstRow="1" w:lastRow="0" w:firstColumn="1" w:lastColumn="0" w:noHBand="0" w:noVBand="1"/>
      </w:tblPr>
      <w:tblGrid>
        <w:gridCol w:w="949"/>
        <w:gridCol w:w="3685"/>
        <w:gridCol w:w="709"/>
        <w:gridCol w:w="851"/>
        <w:gridCol w:w="1559"/>
        <w:gridCol w:w="1417"/>
      </w:tblGrid>
      <w:tr w:rsidR="00FD10FC" w:rsidTr="0040386A">
        <w:tc>
          <w:tcPr>
            <w:tcW w:w="94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 xml:space="preserve">ITEM </w:t>
            </w:r>
          </w:p>
        </w:tc>
        <w:tc>
          <w:tcPr>
            <w:tcW w:w="3685"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DESCRIÇÃO</w:t>
            </w:r>
          </w:p>
        </w:tc>
        <w:tc>
          <w:tcPr>
            <w:tcW w:w="70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QT</w:t>
            </w:r>
          </w:p>
        </w:tc>
        <w:tc>
          <w:tcPr>
            <w:tcW w:w="851"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V. UNI</w:t>
            </w:r>
          </w:p>
        </w:tc>
        <w:tc>
          <w:tcPr>
            <w:tcW w:w="1417" w:type="dxa"/>
          </w:tcPr>
          <w:p w:rsidR="00FD10FC" w:rsidRDefault="00FD10FC" w:rsidP="00571125">
            <w:pPr>
              <w:ind w:left="-451" w:firstLine="451"/>
              <w:rPr>
                <w:rFonts w:ascii="Arial" w:eastAsia="Times New Roman" w:hAnsi="Arial" w:cs="Arial"/>
                <w:sz w:val="23"/>
                <w:szCs w:val="23"/>
              </w:rPr>
            </w:pPr>
            <w:r>
              <w:rPr>
                <w:rFonts w:ascii="Arial" w:eastAsia="Times New Roman" w:hAnsi="Arial" w:cs="Arial"/>
                <w:sz w:val="23"/>
                <w:szCs w:val="23"/>
              </w:rPr>
              <w:t>V. TOTAL</w:t>
            </w:r>
          </w:p>
        </w:tc>
      </w:tr>
      <w:tr w:rsidR="00FD10FC" w:rsidTr="0040386A">
        <w:trPr>
          <w:trHeight w:val="2419"/>
        </w:trPr>
        <w:tc>
          <w:tcPr>
            <w:tcW w:w="949"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p>
          <w:p w:rsidR="00FD10FC" w:rsidRDefault="008D03FB" w:rsidP="008437E1">
            <w:pPr>
              <w:ind w:left="0" w:firstLine="0"/>
              <w:rPr>
                <w:rFonts w:ascii="Arial" w:eastAsia="Times New Roman" w:hAnsi="Arial" w:cs="Arial"/>
                <w:sz w:val="23"/>
                <w:szCs w:val="23"/>
              </w:rPr>
            </w:pPr>
            <w:r>
              <w:rPr>
                <w:rFonts w:ascii="Arial" w:eastAsia="Times New Roman" w:hAnsi="Arial" w:cs="Arial"/>
                <w:sz w:val="23"/>
                <w:szCs w:val="23"/>
              </w:rPr>
              <w:t>04</w:t>
            </w:r>
          </w:p>
        </w:tc>
        <w:tc>
          <w:tcPr>
            <w:tcW w:w="3685"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Colh</w:t>
            </w:r>
            <w:r w:rsidR="00A33B73">
              <w:rPr>
                <w:rFonts w:ascii="Arial" w:eastAsia="Times New Roman" w:hAnsi="Arial" w:cs="Arial"/>
                <w:sz w:val="23"/>
                <w:szCs w:val="23"/>
              </w:rPr>
              <w:t xml:space="preserve">edora de Forragens, com plataforma área total (original do mesmo fabricante) de no mínimo 0,90 metros de corte e recolhimento de 1,00 </w:t>
            </w:r>
            <w:proofErr w:type="gramStart"/>
            <w:r w:rsidR="00A33B73">
              <w:rPr>
                <w:rFonts w:ascii="Arial" w:eastAsia="Times New Roman" w:hAnsi="Arial" w:cs="Arial"/>
                <w:sz w:val="23"/>
                <w:szCs w:val="23"/>
              </w:rPr>
              <w:t>metros ,</w:t>
            </w:r>
            <w:proofErr w:type="gramEnd"/>
            <w:r w:rsidR="00A33B73">
              <w:rPr>
                <w:rFonts w:ascii="Arial" w:eastAsia="Times New Roman" w:hAnsi="Arial" w:cs="Arial"/>
                <w:sz w:val="23"/>
                <w:szCs w:val="23"/>
              </w:rPr>
              <w:t xml:space="preserve"> caixa da plataforma de área total de ferro fundido blindada, rotor com 12 facas, rolos recolhedores com faca formato </w:t>
            </w:r>
            <w:r w:rsidR="00A33B73">
              <w:rPr>
                <w:rFonts w:ascii="Arial" w:eastAsia="Times New Roman" w:hAnsi="Arial" w:cs="Arial"/>
                <w:sz w:val="23"/>
                <w:szCs w:val="23"/>
              </w:rPr>
              <w:lastRenderedPageBreak/>
              <w:t xml:space="preserve">estrela, rolos de corte com faca serrilhada, com todos os itens originais de série da maquina, com quebrador de grãos através da peneira que pode ser montada e desmontada </w:t>
            </w:r>
            <w:proofErr w:type="spellStart"/>
            <w:r w:rsidR="00A33B73">
              <w:rPr>
                <w:rFonts w:ascii="Arial" w:eastAsia="Times New Roman" w:hAnsi="Arial" w:cs="Arial"/>
                <w:sz w:val="23"/>
                <w:szCs w:val="23"/>
              </w:rPr>
              <w:t>ca</w:t>
            </w:r>
            <w:proofErr w:type="spellEnd"/>
            <w:r w:rsidR="00A33B73">
              <w:rPr>
                <w:rFonts w:ascii="Arial" w:eastAsia="Times New Roman" w:hAnsi="Arial" w:cs="Arial"/>
                <w:sz w:val="23"/>
                <w:szCs w:val="23"/>
              </w:rPr>
              <w:t xml:space="preserve"> carcaça da máquina, com transmissão do sistema interno para a caixa de rolos através de coroa de pinhão(sem uso de correntes) sistema de segurança com dois pinos fusíveis interno colocando nas engrenagens de corte, sistema total hidráulico, transmissão de caixa.</w:t>
            </w:r>
          </w:p>
        </w:tc>
        <w:tc>
          <w:tcPr>
            <w:tcW w:w="709"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01</w:t>
            </w:r>
          </w:p>
        </w:tc>
        <w:tc>
          <w:tcPr>
            <w:tcW w:w="851"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p>
          <w:p w:rsidR="00FD10FC" w:rsidRDefault="0040386A" w:rsidP="008437E1">
            <w:pPr>
              <w:ind w:left="0" w:firstLine="0"/>
              <w:rPr>
                <w:rFonts w:ascii="Arial" w:eastAsia="Times New Roman" w:hAnsi="Arial" w:cs="Arial"/>
                <w:sz w:val="23"/>
                <w:szCs w:val="23"/>
              </w:rPr>
            </w:pPr>
            <w:r>
              <w:rPr>
                <w:rFonts w:ascii="Arial" w:eastAsia="Times New Roman" w:hAnsi="Arial" w:cs="Arial"/>
                <w:sz w:val="23"/>
                <w:szCs w:val="23"/>
              </w:rPr>
              <w:t>R$ 50.000,00</w:t>
            </w:r>
          </w:p>
        </w:tc>
        <w:tc>
          <w:tcPr>
            <w:tcW w:w="1417"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R$ 50.000,00</w:t>
            </w:r>
          </w:p>
        </w:tc>
      </w:tr>
    </w:tbl>
    <w:p w:rsidR="00FD10FC" w:rsidRPr="00FD10FC" w:rsidRDefault="00571125" w:rsidP="00571125">
      <w:pPr>
        <w:jc w:val="center"/>
        <w:rPr>
          <w:rFonts w:ascii="Arial" w:eastAsia="Times New Roman" w:hAnsi="Arial" w:cs="Arial"/>
          <w:b/>
          <w:sz w:val="23"/>
          <w:szCs w:val="23"/>
        </w:rPr>
      </w:pPr>
      <w:r>
        <w:rPr>
          <w:rFonts w:ascii="Arial" w:eastAsia="Times New Roman" w:hAnsi="Arial" w:cs="Arial"/>
          <w:b/>
          <w:sz w:val="23"/>
          <w:szCs w:val="23"/>
        </w:rPr>
        <w:lastRenderedPageBreak/>
        <w:t xml:space="preserve">                                                                                               </w:t>
      </w:r>
      <w:r w:rsidR="00FD10FC" w:rsidRPr="00FD10FC">
        <w:rPr>
          <w:rFonts w:ascii="Arial" w:eastAsia="Times New Roman" w:hAnsi="Arial" w:cs="Arial"/>
          <w:b/>
          <w:sz w:val="23"/>
          <w:szCs w:val="23"/>
        </w:rPr>
        <w:t>TOTAL GERAL: 50.000,00</w:t>
      </w:r>
    </w:p>
    <w:p w:rsidR="000C66B2" w:rsidRDefault="000C66B2" w:rsidP="000C66B2">
      <w:pPr>
        <w:spacing w:after="0" w:line="360" w:lineRule="auto"/>
        <w:ind w:left="0" w:right="0" w:firstLine="0"/>
        <w:rPr>
          <w:rFonts w:ascii="Arial" w:eastAsia="Times New Roman" w:hAnsi="Arial" w:cs="Arial"/>
          <w:sz w:val="23"/>
          <w:szCs w:val="23"/>
        </w:rPr>
      </w:pP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TERCEIRA – DO PREÇO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total d</w:t>
      </w:r>
      <w:r w:rsidR="00FD10FC">
        <w:rPr>
          <w:rFonts w:ascii="Arial" w:eastAsia="Times New Roman" w:hAnsi="Arial" w:cs="Arial"/>
          <w:color w:val="000009"/>
          <w:sz w:val="23"/>
          <w:szCs w:val="23"/>
        </w:rPr>
        <w:t>a aquisição será de 50.000,00 (cinquenta mil reais)</w:t>
      </w:r>
      <w:r>
        <w:rPr>
          <w:rFonts w:ascii="Arial" w:eastAsia="Times New Roman" w:hAnsi="Arial" w:cs="Arial"/>
          <w:color w:val="000009"/>
          <w:sz w:val="23"/>
          <w:szCs w:val="23"/>
        </w:rPr>
        <w:t>, que deverá ser pago em moeda corrente, em conta bancária a ser informada.</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8437E1" w:rsidRDefault="008437E1" w:rsidP="008437E1">
      <w:pPr>
        <w:spacing w:after="0" w:line="36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8437E1" w:rsidRDefault="008437E1" w:rsidP="008437E1">
      <w:pPr>
        <w:spacing w:after="0" w:line="276" w:lineRule="auto"/>
        <w:ind w:right="0"/>
        <w:rPr>
          <w:rFonts w:ascii="Arial" w:eastAsia="Times New Roman" w:hAnsi="Arial" w:cs="Arial"/>
          <w:sz w:val="23"/>
          <w:szCs w:val="23"/>
        </w:rPr>
      </w:pPr>
    </w:p>
    <w:p w:rsidR="008437E1" w:rsidRDefault="008437E1" w:rsidP="008437E1">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lastRenderedPageBreak/>
        <w:t xml:space="preserve">7.1. </w:t>
      </w:r>
      <w:r>
        <w:rPr>
          <w:rFonts w:ascii="Arial" w:eastAsia="Times New Roman" w:hAnsi="Arial" w:cs="Arial"/>
          <w:sz w:val="23"/>
          <w:szCs w:val="23"/>
        </w:rPr>
        <w:t>O prazo de vigência da contratação será de 30 (trinta) dias, não podendo ser prorrogado.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lastRenderedPageBreak/>
        <w:t xml:space="preserve">i) </w:t>
      </w:r>
      <w:r>
        <w:rPr>
          <w:rFonts w:ascii="Arial" w:eastAsia="Times New Roman" w:hAnsi="Arial" w:cs="Arial"/>
          <w:color w:val="000009"/>
          <w:sz w:val="23"/>
          <w:szCs w:val="23"/>
        </w:rPr>
        <w:t>em qualquer das hipóteses de inexecução total ou parcial de contrato decorrente deste instrumento;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9.1. </w:t>
      </w:r>
      <w:r>
        <w:rPr>
          <w:rFonts w:ascii="Arial" w:eastAsia="Times New Roman" w:hAnsi="Arial" w:cs="Arial"/>
          <w:sz w:val="23"/>
          <w:szCs w:val="23"/>
        </w:rPr>
        <w:t>Os bens/produtos serão solicitados uma única vez, sendo que</w:t>
      </w:r>
      <w:r w:rsidR="007270CD">
        <w:rPr>
          <w:rFonts w:ascii="Arial" w:eastAsia="Times New Roman" w:hAnsi="Arial" w:cs="Arial"/>
          <w:sz w:val="23"/>
          <w:szCs w:val="23"/>
        </w:rPr>
        <w:t xml:space="preserve"> a entrega deverá ser em até 10 (dez) dias, conforme item 4.7 do edital.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8437E1" w:rsidRDefault="008437E1" w:rsidP="008437E1">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8437E1" w:rsidRDefault="008437E1" w:rsidP="008437E1">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8437E1" w:rsidRDefault="008437E1" w:rsidP="008437E1">
      <w:pPr>
        <w:spacing w:after="0" w:line="240" w:lineRule="auto"/>
        <w:ind w:right="0"/>
        <w:rPr>
          <w:rFonts w:ascii="Arial" w:eastAsia="Times New Roman" w:hAnsi="Arial" w:cs="Arial"/>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lastRenderedPageBreak/>
        <w:t>CLÁUSULA DÉCIMA SEGUNDA – DA FISCALIZAÇÃO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8437E1" w:rsidRDefault="008437E1" w:rsidP="000C66B2">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8437E1">
      <w:pPr>
        <w:spacing w:after="0" w:line="360" w:lineRule="auto"/>
        <w:ind w:left="0" w:right="0" w:firstLine="0"/>
        <w:rPr>
          <w:rFonts w:ascii="Arial" w:eastAsia="Times New Roman" w:hAnsi="Arial" w:cs="Arial"/>
          <w:sz w:val="23"/>
          <w:szCs w:val="23"/>
        </w:rPr>
      </w:pPr>
    </w:p>
    <w:p w:rsidR="008437E1" w:rsidRDefault="008437E1" w:rsidP="00FD10FC">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r w:rsidR="00FD10FC">
        <w:rPr>
          <w:rFonts w:ascii="Arial" w:eastAsia="Times New Roman" w:hAnsi="Arial" w:cs="Arial"/>
          <w:sz w:val="23"/>
          <w:szCs w:val="23"/>
        </w:rPr>
        <w:t>ajeado do Bugre - RS, 07</w:t>
      </w:r>
      <w:r>
        <w:rPr>
          <w:rFonts w:ascii="Arial" w:eastAsia="Times New Roman" w:hAnsi="Arial" w:cs="Arial"/>
          <w:sz w:val="23"/>
          <w:szCs w:val="23"/>
        </w:rPr>
        <w:t xml:space="preserve"> de</w:t>
      </w:r>
      <w:r w:rsidR="003F20FA">
        <w:rPr>
          <w:rFonts w:ascii="Arial" w:eastAsia="Times New Roman" w:hAnsi="Arial" w:cs="Arial"/>
          <w:sz w:val="23"/>
          <w:szCs w:val="23"/>
        </w:rPr>
        <w:t xml:space="preserve"> Fevereiro</w:t>
      </w:r>
      <w:bookmarkStart w:id="0" w:name="_GoBack"/>
      <w:bookmarkEnd w:id="0"/>
      <w:r w:rsidR="00FD10FC">
        <w:rPr>
          <w:rFonts w:ascii="Arial" w:eastAsia="Times New Roman" w:hAnsi="Arial" w:cs="Arial"/>
          <w:sz w:val="23"/>
          <w:szCs w:val="23"/>
        </w:rPr>
        <w:t xml:space="preserve"> de 2025.</w:t>
      </w:r>
    </w:p>
    <w:p w:rsidR="00FD10FC" w:rsidRDefault="00FD10FC" w:rsidP="000C66B2">
      <w:pPr>
        <w:spacing w:after="0" w:line="360" w:lineRule="auto"/>
        <w:ind w:left="0" w:right="0" w:firstLine="0"/>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FD10FC" w:rsidRPr="00FD10FC" w:rsidRDefault="00FE381F" w:rsidP="00FD10FC">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w:t>
      </w:r>
      <w:r w:rsidR="00FD10FC" w:rsidRPr="00FD10FC">
        <w:rPr>
          <w:rFonts w:ascii="Arial" w:eastAsia="Times New Roman" w:hAnsi="Arial" w:cs="Arial"/>
          <w:b/>
          <w:sz w:val="23"/>
          <w:szCs w:val="23"/>
        </w:rPr>
        <w:t xml:space="preserve"> ___________________________                          ___________________________          </w:t>
      </w:r>
    </w:p>
    <w:p w:rsidR="00FD10FC" w:rsidRPr="00FD10FC" w:rsidRDefault="00FD10FC" w:rsidP="00FD10FC">
      <w:pPr>
        <w:ind w:left="0" w:firstLine="0"/>
        <w:rPr>
          <w:rFonts w:ascii="Arial" w:eastAsia="Times New Roman" w:hAnsi="Arial" w:cs="Arial"/>
          <w:b/>
          <w:sz w:val="23"/>
          <w:szCs w:val="23"/>
        </w:rPr>
      </w:pPr>
      <w:r w:rsidRPr="00FD10FC">
        <w:rPr>
          <w:rFonts w:ascii="Arial" w:eastAsia="Times New Roman" w:hAnsi="Arial" w:cs="Arial"/>
          <w:b/>
          <w:sz w:val="23"/>
          <w:szCs w:val="23"/>
        </w:rPr>
        <w:t xml:space="preserve">             Ronaldo Machado da Silva                                 </w:t>
      </w:r>
      <w:r w:rsidR="000C66B2">
        <w:rPr>
          <w:rFonts w:ascii="Arial" w:eastAsia="Times New Roman" w:hAnsi="Arial" w:cs="Arial"/>
          <w:b/>
          <w:sz w:val="23"/>
          <w:szCs w:val="23"/>
        </w:rPr>
        <w:t xml:space="preserve"> </w:t>
      </w:r>
      <w:proofErr w:type="spellStart"/>
      <w:r w:rsidR="000C66B2">
        <w:rPr>
          <w:rFonts w:ascii="Arial" w:eastAsia="Times New Roman" w:hAnsi="Arial" w:cs="Arial"/>
          <w:b/>
          <w:sz w:val="23"/>
          <w:szCs w:val="23"/>
        </w:rPr>
        <w:t>Delba</w:t>
      </w:r>
      <w:proofErr w:type="spellEnd"/>
      <w:r w:rsidR="000C66B2">
        <w:rPr>
          <w:rFonts w:ascii="Arial" w:eastAsia="Times New Roman" w:hAnsi="Arial" w:cs="Arial"/>
          <w:b/>
          <w:sz w:val="23"/>
          <w:szCs w:val="23"/>
        </w:rPr>
        <w:t xml:space="preserve"> Vicentini </w:t>
      </w:r>
      <w:proofErr w:type="spellStart"/>
      <w:r w:rsidR="000C66B2">
        <w:rPr>
          <w:rFonts w:ascii="Arial" w:eastAsia="Times New Roman" w:hAnsi="Arial" w:cs="Arial"/>
          <w:b/>
          <w:sz w:val="23"/>
          <w:szCs w:val="23"/>
        </w:rPr>
        <w:t>Cremasco</w:t>
      </w:r>
      <w:proofErr w:type="spellEnd"/>
      <w:r w:rsidR="000C66B2">
        <w:rPr>
          <w:rFonts w:ascii="Arial" w:eastAsia="Times New Roman" w:hAnsi="Arial" w:cs="Arial"/>
          <w:b/>
          <w:sz w:val="23"/>
          <w:szCs w:val="23"/>
        </w:rPr>
        <w:t xml:space="preserve"> ME</w:t>
      </w:r>
    </w:p>
    <w:p w:rsidR="00FD10FC" w:rsidRPr="00571125" w:rsidRDefault="00571125" w:rsidP="00571125">
      <w:pPr>
        <w:ind w:left="0" w:firstLine="0"/>
        <w:jc w:val="center"/>
        <w:rPr>
          <w:rFonts w:ascii="Arial" w:eastAsia="Times New Roman" w:hAnsi="Arial" w:cs="Arial"/>
          <w:i/>
          <w:sz w:val="23"/>
          <w:szCs w:val="23"/>
        </w:rPr>
        <w:sectPr w:rsidR="00FD10FC" w:rsidRPr="00571125" w:rsidSect="00BA16BF">
          <w:pgSz w:w="11900" w:h="16840"/>
          <w:pgMar w:top="2124" w:right="985" w:bottom="1560" w:left="1560" w:header="1644" w:footer="1667" w:gutter="0"/>
          <w:cols w:space="720"/>
          <w:docGrid w:linePitch="326"/>
        </w:sectPr>
      </w:pPr>
      <w:r>
        <w:rPr>
          <w:rFonts w:ascii="Arial" w:eastAsia="Times New Roman" w:hAnsi="Arial" w:cs="Arial"/>
          <w:i/>
          <w:sz w:val="23"/>
          <w:szCs w:val="23"/>
        </w:rPr>
        <w:t>CONTRATANTE                                                        CONTRATADA</w:t>
      </w:r>
      <w:proofErr w:type="gramStart"/>
      <w:r w:rsidRPr="00571125">
        <w:rPr>
          <w:rFonts w:ascii="Arial" w:eastAsia="Times New Roman" w:hAnsi="Arial" w:cs="Arial"/>
          <w:i/>
          <w:sz w:val="23"/>
          <w:szCs w:val="23"/>
        </w:rPr>
        <w:t xml:space="preserve">   </w:t>
      </w:r>
      <w:proofErr w:type="gramEnd"/>
    </w:p>
    <w:p w:rsidR="00E731E1" w:rsidRPr="00FD10FC" w:rsidRDefault="00E731E1" w:rsidP="00FD10FC">
      <w:pPr>
        <w:spacing w:after="0" w:line="360" w:lineRule="auto"/>
        <w:ind w:left="0" w:right="0" w:firstLine="0"/>
        <w:rPr>
          <w:rFonts w:ascii="Arial" w:eastAsia="Times New Roman" w:hAnsi="Arial" w:cs="Arial"/>
          <w:b/>
          <w:bCs/>
          <w:sz w:val="23"/>
          <w:szCs w:val="23"/>
        </w:rPr>
      </w:pPr>
    </w:p>
    <w:sectPr w:rsidR="00E731E1" w:rsidRPr="00FD10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620" w:rsidRDefault="009A5620" w:rsidP="008437E1">
      <w:pPr>
        <w:spacing w:after="0" w:line="240" w:lineRule="auto"/>
      </w:pPr>
      <w:r>
        <w:separator/>
      </w:r>
    </w:p>
  </w:endnote>
  <w:endnote w:type="continuationSeparator" w:id="0">
    <w:p w:rsidR="009A5620" w:rsidRDefault="009A5620" w:rsidP="0084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620" w:rsidRDefault="009A5620" w:rsidP="008437E1">
      <w:pPr>
        <w:spacing w:after="0" w:line="240" w:lineRule="auto"/>
      </w:pPr>
      <w:r>
        <w:separator/>
      </w:r>
    </w:p>
  </w:footnote>
  <w:footnote w:type="continuationSeparator" w:id="0">
    <w:p w:rsidR="009A5620" w:rsidRDefault="009A5620" w:rsidP="0084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E1"/>
    <w:rsid w:val="000C66B2"/>
    <w:rsid w:val="000F47BE"/>
    <w:rsid w:val="003F20FA"/>
    <w:rsid w:val="0040386A"/>
    <w:rsid w:val="004658B2"/>
    <w:rsid w:val="00571125"/>
    <w:rsid w:val="006B6F37"/>
    <w:rsid w:val="007270CD"/>
    <w:rsid w:val="008437E1"/>
    <w:rsid w:val="008D03FB"/>
    <w:rsid w:val="009A5620"/>
    <w:rsid w:val="00A33B73"/>
    <w:rsid w:val="00BA16BF"/>
    <w:rsid w:val="00E731E1"/>
    <w:rsid w:val="00FD10FC"/>
    <w:rsid w:val="00FE3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A16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6BF"/>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BA16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6BF"/>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8960-2C1E-4383-B531-95937EDA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1562</Words>
  <Characters>8435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Patrimonio</dc:creator>
  <cp:lastModifiedBy>Patrimonio</cp:lastModifiedBy>
  <cp:revision>11</cp:revision>
  <cp:lastPrinted>2025-02-13T12:40:00Z</cp:lastPrinted>
  <dcterms:created xsi:type="dcterms:W3CDTF">2025-02-10T12:33:00Z</dcterms:created>
  <dcterms:modified xsi:type="dcterms:W3CDTF">2025-02-13T14:09:00Z</dcterms:modified>
</cp:coreProperties>
</file>