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F9" w:rsidRDefault="00D70AF9" w:rsidP="00D70AF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30</w:t>
      </w:r>
      <w:r>
        <w:rPr>
          <w:rFonts w:ascii="Arial" w:hAnsi="Arial" w:cs="Arial"/>
          <w:b/>
          <w:sz w:val="23"/>
          <w:szCs w:val="23"/>
        </w:rPr>
        <w:t>/2024</w:t>
      </w:r>
    </w:p>
    <w:p w:rsidR="00D70AF9" w:rsidRDefault="00D70AF9" w:rsidP="00D70AF9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D70AF9" w:rsidRDefault="00D70AF9" w:rsidP="00D70AF9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</w:t>
      </w:r>
      <w:r>
        <w:rPr>
          <w:rFonts w:ascii="Arial" w:hAnsi="Arial" w:cs="Arial"/>
          <w:b/>
          <w:sz w:val="23"/>
          <w:szCs w:val="23"/>
        </w:rPr>
        <w:t xml:space="preserve"> JESSICA BRIZOLA FRIES</w:t>
      </w:r>
      <w:r>
        <w:rPr>
          <w:rFonts w:ascii="Arial" w:hAnsi="Arial" w:cs="Arial"/>
          <w:b/>
          <w:sz w:val="23"/>
          <w:szCs w:val="23"/>
        </w:rPr>
        <w:t>.</w:t>
      </w:r>
    </w:p>
    <w:p w:rsidR="00D70AF9" w:rsidRDefault="00D70AF9" w:rsidP="00D70AF9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15722A" w:rsidRPr="0015722A" w:rsidRDefault="00D70AF9" w:rsidP="0015722A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JESSICA BRIZOLA FRIES, CNPJ:</w:t>
      </w:r>
      <w:r>
        <w:rPr>
          <w:rFonts w:ascii="Arial" w:hAnsi="Arial" w:cs="Arial"/>
          <w:b/>
          <w:sz w:val="23"/>
          <w:szCs w:val="23"/>
        </w:rPr>
        <w:t xml:space="preserve"> 41.930.210/0001-66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>
        <w:rPr>
          <w:rFonts w:ascii="Arial" w:hAnsi="Arial" w:cs="Arial"/>
          <w:sz w:val="23"/>
          <w:szCs w:val="23"/>
        </w:rPr>
        <w:t xml:space="preserve">Sagrada </w:t>
      </w:r>
      <w:proofErr w:type="spellStart"/>
      <w:r>
        <w:rPr>
          <w:rFonts w:ascii="Arial" w:hAnsi="Arial" w:cs="Arial"/>
          <w:sz w:val="23"/>
          <w:szCs w:val="23"/>
        </w:rPr>
        <w:t>Familia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 RS, na</w:t>
      </w:r>
      <w:r>
        <w:rPr>
          <w:rFonts w:ascii="Arial" w:hAnsi="Arial" w:cs="Arial"/>
          <w:sz w:val="23"/>
          <w:szCs w:val="23"/>
        </w:rPr>
        <w:t xml:space="preserve"> Rua Francisco Luiz </w:t>
      </w:r>
      <w:proofErr w:type="spellStart"/>
      <w:r>
        <w:rPr>
          <w:rFonts w:ascii="Arial" w:hAnsi="Arial" w:cs="Arial"/>
          <w:sz w:val="23"/>
          <w:szCs w:val="23"/>
        </w:rPr>
        <w:t>Cardona</w:t>
      </w:r>
      <w:proofErr w:type="spellEnd"/>
      <w:r>
        <w:rPr>
          <w:rFonts w:ascii="Arial" w:hAnsi="Arial" w:cs="Arial"/>
          <w:sz w:val="23"/>
          <w:szCs w:val="23"/>
        </w:rPr>
        <w:t>, Bairro, Centro, inscrita no CNPJ/MF sob nº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41.930.210/0001-66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pela</w:t>
      </w:r>
      <w:r>
        <w:rPr>
          <w:rFonts w:ascii="Arial" w:hAnsi="Arial" w:cs="Arial"/>
          <w:b/>
          <w:sz w:val="23"/>
          <w:szCs w:val="23"/>
        </w:rPr>
        <w:t xml:space="preserve"> Sr</w:t>
      </w:r>
      <w:r>
        <w:rPr>
          <w:rFonts w:ascii="Arial" w:hAnsi="Arial" w:cs="Arial"/>
          <w:b/>
          <w:sz w:val="23"/>
          <w:szCs w:val="23"/>
        </w:rPr>
        <w:t>a</w:t>
      </w:r>
      <w:r>
        <w:rPr>
          <w:rFonts w:ascii="Arial" w:hAnsi="Arial" w:cs="Arial"/>
          <w:b/>
          <w:sz w:val="23"/>
          <w:szCs w:val="23"/>
        </w:rPr>
        <w:t>.</w:t>
      </w:r>
      <w:r>
        <w:rPr>
          <w:rFonts w:ascii="Arial" w:hAnsi="Arial" w:cs="Arial"/>
          <w:b/>
          <w:sz w:val="23"/>
          <w:szCs w:val="23"/>
        </w:rPr>
        <w:t xml:space="preserve"> Jessica Brizola </w:t>
      </w:r>
      <w:proofErr w:type="spellStart"/>
      <w:r>
        <w:rPr>
          <w:rFonts w:ascii="Arial" w:hAnsi="Arial" w:cs="Arial"/>
          <w:b/>
          <w:sz w:val="23"/>
          <w:szCs w:val="23"/>
        </w:rPr>
        <w:t>Fries</w:t>
      </w:r>
      <w:proofErr w:type="spellEnd"/>
      <w:r w:rsidR="00B22EE1">
        <w:rPr>
          <w:rFonts w:ascii="Arial" w:hAnsi="Arial" w:cs="Arial"/>
          <w:b/>
          <w:sz w:val="23"/>
          <w:szCs w:val="23"/>
        </w:rPr>
        <w:t>, brasileira, solteira, Empresária</w:t>
      </w:r>
      <w:r>
        <w:rPr>
          <w:rFonts w:ascii="Arial" w:hAnsi="Arial" w:cs="Arial"/>
          <w:b/>
          <w:sz w:val="23"/>
          <w:szCs w:val="23"/>
        </w:rPr>
        <w:t xml:space="preserve">, CPF: </w:t>
      </w:r>
      <w:r w:rsidR="00B22EE1">
        <w:rPr>
          <w:rFonts w:ascii="Arial" w:hAnsi="Arial" w:cs="Arial"/>
          <w:b/>
          <w:sz w:val="23"/>
          <w:szCs w:val="23"/>
        </w:rPr>
        <w:t xml:space="preserve">024.862.180-76 </w:t>
      </w:r>
      <w:r>
        <w:rPr>
          <w:rFonts w:ascii="Arial" w:hAnsi="Arial" w:cs="Arial"/>
          <w:b/>
          <w:sz w:val="23"/>
          <w:szCs w:val="23"/>
        </w:rPr>
        <w:t>e endereço</w:t>
      </w:r>
      <w:r w:rsidR="00B22EE1">
        <w:rPr>
          <w:rFonts w:ascii="Arial" w:hAnsi="Arial" w:cs="Arial"/>
          <w:b/>
          <w:sz w:val="23"/>
          <w:szCs w:val="23"/>
        </w:rPr>
        <w:t xml:space="preserve"> Rua Francisco Luiz </w:t>
      </w:r>
      <w:proofErr w:type="spellStart"/>
      <w:r w:rsidR="00B22EE1">
        <w:rPr>
          <w:rFonts w:ascii="Arial" w:hAnsi="Arial" w:cs="Arial"/>
          <w:b/>
          <w:sz w:val="23"/>
          <w:szCs w:val="23"/>
        </w:rPr>
        <w:t>Cardona</w:t>
      </w:r>
      <w:proofErr w:type="spellEnd"/>
      <w:r w:rsidR="0015722A">
        <w:rPr>
          <w:rFonts w:ascii="Arial" w:hAnsi="Arial" w:cs="Arial"/>
          <w:b/>
          <w:sz w:val="23"/>
          <w:szCs w:val="23"/>
        </w:rPr>
        <w:t>, número 286</w:t>
      </w:r>
      <w:r>
        <w:rPr>
          <w:rFonts w:ascii="Arial" w:hAnsi="Arial" w:cs="Arial"/>
          <w:b/>
          <w:sz w:val="23"/>
          <w:szCs w:val="23"/>
        </w:rPr>
        <w:t>, bairro, Centro,</w:t>
      </w:r>
      <w:r>
        <w:rPr>
          <w:rFonts w:ascii="Arial" w:hAnsi="Arial" w:cs="Arial"/>
          <w:sz w:val="23"/>
          <w:szCs w:val="23"/>
        </w:rPr>
        <w:t xml:space="preserve"> </w:t>
      </w:r>
      <w:r w:rsidR="0015722A">
        <w:rPr>
          <w:rFonts w:ascii="Arial" w:hAnsi="Arial" w:cs="Arial"/>
          <w:sz w:val="23"/>
          <w:szCs w:val="23"/>
        </w:rPr>
        <w:t xml:space="preserve">Sagrada </w:t>
      </w:r>
      <w:proofErr w:type="spellStart"/>
      <w:r w:rsidR="0015722A">
        <w:rPr>
          <w:rFonts w:ascii="Arial" w:hAnsi="Arial" w:cs="Arial"/>
          <w:sz w:val="23"/>
          <w:szCs w:val="23"/>
        </w:rPr>
        <w:t>Familia</w:t>
      </w:r>
      <w:proofErr w:type="spellEnd"/>
      <w:r w:rsidR="0015722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 RS, têm entre si, certo e ajustado, firmam o presente contrato median</w:t>
      </w:r>
      <w:r w:rsidR="0015722A">
        <w:rPr>
          <w:rFonts w:ascii="Arial" w:hAnsi="Arial" w:cs="Arial"/>
          <w:sz w:val="23"/>
          <w:szCs w:val="23"/>
        </w:rPr>
        <w:t xml:space="preserve">te ao Processo Licitatório nº 21/2024, </w:t>
      </w:r>
      <w:proofErr w:type="spellStart"/>
      <w:r w:rsidR="0015722A">
        <w:rPr>
          <w:rFonts w:ascii="Arial" w:hAnsi="Arial" w:cs="Arial"/>
          <w:sz w:val="23"/>
          <w:szCs w:val="23"/>
        </w:rPr>
        <w:t>Dispença</w:t>
      </w:r>
      <w:proofErr w:type="spellEnd"/>
      <w:r w:rsidR="0015722A">
        <w:rPr>
          <w:rFonts w:ascii="Arial" w:hAnsi="Arial" w:cs="Arial"/>
          <w:sz w:val="23"/>
          <w:szCs w:val="23"/>
        </w:rPr>
        <w:t xml:space="preserve"> licitatória n° 20</w:t>
      </w:r>
      <w:r>
        <w:rPr>
          <w:rFonts w:ascii="Arial" w:hAnsi="Arial" w:cs="Arial"/>
          <w:sz w:val="23"/>
          <w:szCs w:val="23"/>
        </w:rPr>
        <w:t>/2024,  as seguintes cláusulas e condições:</w:t>
      </w: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1. </w:t>
      </w:r>
      <w:r w:rsidR="00C42649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PRIMEIRA – DO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  <w:r w:rsidR="00C42649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5722A" w:rsidRDefault="0015722A" w:rsidP="0015722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hAnsi="Arial" w:cs="Arial"/>
          <w:color w:val="000000"/>
          <w:lang w:eastAsia="pt-BR"/>
        </w:rPr>
        <w:t xml:space="preserve">Construção de paradas de ônibus com as seguintes dimensões 1,20 x 2,20 estrutura toda metálica, pintura Solida em três corres sendo estas as cores da bandeira do Município, com banco anexo a estrutura, cobertura em chapa preto em ferro, com estrutura em concreto para instalação das paradas sobre as mesmas, que serão parafusadas com </w:t>
      </w:r>
      <w:proofErr w:type="gramStart"/>
      <w:r>
        <w:rPr>
          <w:rFonts w:ascii="Arial" w:hAnsi="Arial" w:cs="Arial"/>
          <w:color w:val="000000"/>
          <w:lang w:eastAsia="pt-BR"/>
        </w:rPr>
        <w:t>4</w:t>
      </w:r>
      <w:proofErr w:type="gramEnd"/>
      <w:r>
        <w:rPr>
          <w:rFonts w:ascii="Arial" w:hAnsi="Arial" w:cs="Arial"/>
          <w:color w:val="000000"/>
          <w:lang w:eastAsia="pt-BR"/>
        </w:rPr>
        <w:t xml:space="preserve"> parafusos por base tendo está no mínimo 4 bases, as bases principais sendo de 3 polegadas de ferro espessura 3 mm com 2 metros de altura.</w:t>
      </w:r>
    </w:p>
    <w:p w:rsidR="0015722A" w:rsidRDefault="0015722A" w:rsidP="001572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 presente Termo de Referência tem por objetivo determinar as condições que disciplinarão</w:t>
      </w:r>
      <w:r>
        <w:rPr>
          <w:rFonts w:ascii="Arial" w:eastAsia="Arial Narrow" w:hAnsi="Arial" w:cs="Arial"/>
          <w:b/>
          <w:bCs/>
          <w:color w:val="2A6099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de acordo com o Estudo Técnico Preliminar e </w:t>
      </w:r>
      <w:r>
        <w:rPr>
          <w:rFonts w:ascii="Arial" w:eastAsia="Arial Narrow" w:hAnsi="Arial" w:cs="Arial"/>
          <w:kern w:val="3"/>
          <w:lang w:eastAsia="zh-CN" w:bidi="hi-IN"/>
        </w:rPr>
        <w:t>conforme condições, quantidades, exigências e estimativas contidas neste Termo de Referência.</w:t>
      </w:r>
    </w:p>
    <w:p w:rsidR="0015722A" w:rsidRDefault="0015722A" w:rsidP="0015722A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W w:w="9923" w:type="dxa"/>
        <w:tblInd w:w="-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4536"/>
        <w:gridCol w:w="1276"/>
        <w:gridCol w:w="1275"/>
        <w:gridCol w:w="142"/>
      </w:tblGrid>
      <w:tr w:rsidR="00C42649" w:rsidTr="00C42649">
        <w:trPr>
          <w:gridAfter w:val="1"/>
          <w:wAfter w:w="142" w:type="dxa"/>
          <w:trHeight w:hRule="exact" w:val="56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42649" w:rsidRDefault="00C426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Item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42649" w:rsidRDefault="00C426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42649" w:rsidRDefault="00C426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Unidade de Medida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42649" w:rsidRDefault="00C426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9" w:rsidRDefault="00C426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Valor Unit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9" w:rsidRDefault="00C426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Valor Total</w:t>
            </w:r>
          </w:p>
        </w:tc>
      </w:tr>
      <w:tr w:rsidR="00C42649" w:rsidTr="00C42649">
        <w:trPr>
          <w:trHeight w:hRule="exact" w:val="475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42649" w:rsidRDefault="00C426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649" w:rsidRDefault="00C42649">
            <w:pPr>
              <w:jc w:val="center"/>
              <w:rPr>
                <w:rFonts w:ascii="Arial" w:hAnsi="Arial" w:cs="Arial"/>
              </w:rPr>
            </w:pPr>
          </w:p>
          <w:p w:rsidR="00C42649" w:rsidRDefault="00C42649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C42649" w:rsidRDefault="00C42649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C42649" w:rsidRDefault="00C42649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C42649" w:rsidRDefault="00C42649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C42649" w:rsidRDefault="00C42649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CONSTRUÇÃO DE PARADAS DE ÔNIBUS COM AS SEGUINTES DIMENSÕES 1,20 X 2,20 ESTRUTURA TODA METÁLICA, PINTURA SOLIDA EM TRÊS CORRES SENDO ESTAS AS CORES DA BANDEIRA DO MUNICÍPIO, COM BANCO ANEXO A ESTRUTURA, COBERTURA EM CHAPA PRETO EM FERRO, COM ESTRUTURA EM CONCRETO PARA INSTALAÇÃO DAS PARADAS SOBRE AS MESMAS, QUE SERÃO PARAFUSADAS COM </w:t>
            </w:r>
            <w:proofErr w:type="gramStart"/>
            <w:r>
              <w:rPr>
                <w:rFonts w:ascii="Arial" w:hAnsi="Arial" w:cs="Arial"/>
                <w:color w:val="000000"/>
                <w:lang w:eastAsia="pt-BR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lang w:eastAsia="pt-BR"/>
              </w:rPr>
              <w:t xml:space="preserve"> PARAFUSOS POR BASE TENDO ESTÁ NO MÍNIMO 4 BASES, AS BASES PRINCIPAIS SENDO DE 3 POLEGADAS DE FERRO ESPESSURA 3 MM COM 2 METROS DE ALTURA</w:t>
            </w:r>
            <w:r>
              <w:rPr>
                <w:rFonts w:ascii="Arial" w:hAnsi="Arial" w:cs="Arial"/>
                <w:color w:val="404040"/>
                <w:shd w:val="clear" w:color="auto" w:fill="FFFFFF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R$ 5.700,00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</w:p>
          <w:p w:rsidR="00C42649" w:rsidRDefault="00C4264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R$ 57.000,00</w:t>
            </w:r>
          </w:p>
        </w:tc>
      </w:tr>
    </w:tbl>
    <w:p w:rsidR="0015722A" w:rsidRDefault="0015722A" w:rsidP="0015722A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</w:t>
      </w:r>
      <w:r w:rsidR="00C42649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SEGUNDA – DA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VIGÊNCIA E PRORROGAÇÃO</w:t>
      </w:r>
      <w:r w:rsidR="00C42649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3.</w:t>
      </w:r>
      <w:r w:rsidR="00C42649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TERCEIRA – DA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CLASSIFICAÇÃO DOS BENS/ SERVIÇOS</w:t>
      </w:r>
      <w:r w:rsidR="00C42649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 - se na classificação </w:t>
      </w:r>
      <w:r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4. 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NECESSIDADE DA CONTRATAÇÃO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iCs/>
          <w:kern w:val="3"/>
          <w:lang w:eastAsia="zh-CN" w:bidi="hi-IN"/>
        </w:rPr>
      </w:pPr>
      <w:r>
        <w:rPr>
          <w:rFonts w:ascii="Arial" w:eastAsia="NSimSun" w:hAnsi="Arial" w:cs="Arial"/>
          <w:iCs/>
          <w:kern w:val="3"/>
          <w:lang w:eastAsia="zh-CN" w:bidi="hi-IN"/>
        </w:rPr>
        <w:tab/>
        <w:t xml:space="preserve">Se faz necessária a contratação da empresa para venda e instalação </w:t>
      </w:r>
      <w:proofErr w:type="gramStart"/>
      <w:r>
        <w:rPr>
          <w:rFonts w:ascii="Arial" w:eastAsia="NSimSun" w:hAnsi="Arial" w:cs="Arial"/>
          <w:iCs/>
          <w:kern w:val="3"/>
          <w:lang w:eastAsia="zh-CN" w:bidi="hi-IN"/>
        </w:rPr>
        <w:t>dos Paradas</w:t>
      </w:r>
      <w:proofErr w:type="gramEnd"/>
      <w:r>
        <w:rPr>
          <w:rFonts w:ascii="Arial" w:eastAsia="NSimSun" w:hAnsi="Arial" w:cs="Arial"/>
          <w:iCs/>
          <w:kern w:val="3"/>
          <w:lang w:eastAsia="zh-CN" w:bidi="hi-IN"/>
        </w:rPr>
        <w:t xml:space="preserve"> de Ônibus para que nossos crianças, alunos em geral e nossa população tenha um local protegido da chuva e do sol para aguardar a o transporte escolar e o transporte de passageiros para seus deslocamentos dentro dos limites de nosso município.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NSimSun" w:hAnsi="Arial" w:cs="Arial"/>
          <w:iCs/>
          <w:kern w:val="3"/>
          <w:lang w:eastAsia="zh-CN" w:bidi="hi-IN"/>
        </w:rPr>
        <w:t xml:space="preserve"> </w:t>
      </w: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5. 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QUINTA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15722A" w:rsidRDefault="0015722A" w:rsidP="001572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Como se trata da compra e da instalação de Paradas de ônibus especialmente para estudantes da rede de ensino municipal e estadual, esta ação vai dar condições para que nossas crianças tenham um local para aguardar seu transporte para se direcionar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as nossa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escolas tanto municipal como estadual, sendo este abrigo protegido do sol e de chuva.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6.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SEXTA – DOS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REQUISITOS DA CONTRATAÇÃO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lastRenderedPageBreak/>
        <w:t>6.1.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15722A" w:rsidRDefault="0015722A" w:rsidP="008D0A7A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 empresa contratada deve efetuar a entrega das paradas de ônibus e instalar as mesmas onde ser definida pela nossa administração municipal em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 após demandada, efetuar a montagem e instalação dos mesmos, estar a uma distância máxima da cede do município de no máximo 50 km para a ágil instalação e para futuras manutenções quando demandada e está manutenção deverá ser efetuada em no máximo 12 horas após demandada. A Instalação deve ser sem custos adicionais, em caso de defeitos no prazo de garantia a empresa deve efetuar a sua manutenção em no máximo 12 horas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comunicada.</w:t>
      </w:r>
    </w:p>
    <w:p w:rsidR="008D0A7A" w:rsidRPr="008D0A7A" w:rsidRDefault="008D0A7A" w:rsidP="008D0A7A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15722A" w:rsidTr="00C42649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722A" w:rsidRDefault="0015722A" w:rsidP="00C426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7. 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Sra.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Secretária de Educação Aline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de Lima. As paradas de ônibus serão entregues e instalados de forma única conforme aviso prévio e empenho prévio. O processo de licitação será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pontuada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por uma dispensa de licitação.  </w:t>
      </w:r>
    </w:p>
    <w:p w:rsidR="00C42649" w:rsidRDefault="00C42649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OITAVA –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DO LOCAL E PRAZO DE ENTREGA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Prazo inicial para a compra e instalação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tem até no máximo de 05 dias para a entrega e instalação das paradas de ônibus. 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local da entrega e instalação das paradas de ônibus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serão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realizada onde a Secretaria de Educação e a administração definir dentro dos limites do município de Lajeado do Bugre – RS, sendo elas instaladas no interior do município e no perímetro urbano da cidade.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As Paradas de Ônibus deste Termo de Referência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deverá ser efetuados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, instaladas, conforme definição da empresa vencedora do certame e deverá ter o acompanhamento de servidor desta administração.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9. 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eastAsia="ar-SA" w:bidi="hi-IN"/>
        </w:rPr>
        <w:lastRenderedPageBreak/>
        <w:t>b</w:t>
      </w: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ou na entrega das Paradas de Ônibus, para que seja substituído, reparado ou corrigido de forma imediata;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eastAsia="ar-SA" w:bidi="hi-IN"/>
        </w:rPr>
        <w:t>c</w:t>
      </w: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eastAsia="ar-SA" w:bidi="hi-IN"/>
        </w:rPr>
        <w:t>d</w:t>
      </w: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 em até 10 dias após a entrega e instalação dos mesmos;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eastAsia="ar-SA" w:bidi="hi-IN"/>
        </w:rPr>
        <w:t>e</w:t>
      </w: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>efetuar a entrega das Paradas de Ônibus e sua Instalação em perfeitas condições, entregar as paradas conforme especificações, não sendo montados diferentes das descrições e com os prazos e local constantes no termo de referência e seus anexos, acompanhado da respectiva nota fiscal.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 xml:space="preserve">comunicar à Contratante, no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8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(oito) horas que antecede a data da entrega das Paradas de Ônibus, os motivos que impossibilitem o cumprimento do prazo previsto, com a devida comprovação;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dar garantia da instalação e montagem das paradas de ônibus.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g)</w:t>
      </w:r>
      <w:r>
        <w:rPr>
          <w:rFonts w:ascii="Arial" w:eastAsia="Arial Narrow" w:hAnsi="Arial" w:cs="Arial"/>
          <w:kern w:val="3"/>
          <w:lang w:eastAsia="zh-CN" w:bidi="hi-IN"/>
        </w:rPr>
        <w:t xml:space="preserve"> executar a entrega e a instalação das paradas de Ônibus e da sua Instalação será em no máximo em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após demanda.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</w:t>
      </w:r>
      <w:r w:rsidR="008D0A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PRIMEIRA –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 SUBCONTRATAÇÃO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SGUNDA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 ) O prazo de garantia das Paradas de Ônibus e ou problema na instalação deverá ser de no mínimo 1 ano, a contar do recebimento definitivo das Paradas de Ônibus.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defeitos, e ou falha na instalação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 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itens a serem entregues e os serviços prestados é de responsabilidade da Sra. Aline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de Lima, Secretária de Educação, fone contato 55 9 8463 - 1709.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Sra. Aline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de Lima, Secretária de Educação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, </w:t>
      </w:r>
      <w:r>
        <w:rPr>
          <w:rFonts w:ascii="Arial" w:eastAsia="Arial Narrow" w:hAnsi="Arial" w:cs="Arial"/>
          <w:iCs/>
          <w:kern w:val="3"/>
          <w:lang w:eastAsia="zh-CN" w:bidi="hi-IN"/>
        </w:rPr>
        <w:t>fone contato 55 9 8463 - 1709.</w:t>
      </w:r>
    </w:p>
    <w:p w:rsidR="00C42649" w:rsidRDefault="00C42649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15. 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os serviços prestados será com a simples conferência.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lang w:val="pt-PT" w:eastAsia="ar-SA" w:bidi="hi-IN"/>
        </w:rPr>
        <w:t>O pagamento somente será efetuado apos os 10 dias da entrega e a devida isntalação das 10 paradas de Ônibus, devidamente instalados e em funcionamento.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val="pt-PT"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16. 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VI não celebrar o contrato ou não entregar a documentação exigida para a contratação, quando convocado dentro do prazo de validade de sua proposta;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17. 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PENALIDADES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18. 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 e atednimento de </w:t>
      </w:r>
      <w:proofErr w:type="gramStart"/>
      <w:r>
        <w:rPr>
          <w:rFonts w:ascii="Arial" w:eastAsia="Arial" w:hAnsi="Arial" w:cs="Arial"/>
          <w:bCs/>
          <w:kern w:val="3"/>
          <w:lang w:val="pt-PT" w:eastAsia="ar-SA" w:bidi="hi-IN"/>
        </w:rPr>
        <w:t>todas a</w:t>
      </w:r>
      <w:proofErr w:type="gramEnd"/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 demnada do Termo de Referencia. 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5722A" w:rsidRDefault="0015722A" w:rsidP="0015722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19.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NONA –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DOS CRITÉRIOS DE REDUÇÕES DE PAGAMENTO</w:t>
      </w:r>
      <w:r w:rsidR="00AE1FB2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15722A" w:rsidRDefault="0015722A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lang w:val="pt-PT" w:eastAsia="ar-SA" w:bidi="hi-IN"/>
        </w:rPr>
        <w:lastRenderedPageBreak/>
        <w:t>O pagamento somente ocorrera na forma integral, não sendo aceito parcelamento no pagamento das Paradas de Ônibus já entregues e instalados.</w:t>
      </w:r>
    </w:p>
    <w:p w:rsidR="00AE1FB2" w:rsidRDefault="00AE1FB2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AE1FB2" w:rsidRDefault="00AE1FB2" w:rsidP="00AE1F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20. CLÁUSULA VIGÉSIMA – DO FORO</w:t>
      </w:r>
    </w:p>
    <w:p w:rsidR="00AE1FB2" w:rsidRDefault="00AE1FB2" w:rsidP="00AE1F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AE1FB2" w:rsidRDefault="00AE1FB2" w:rsidP="00AE1FB2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AE1FB2" w:rsidRDefault="00AE1FB2" w:rsidP="00AE1FB2">
      <w:pPr>
        <w:rPr>
          <w:b/>
          <w:sz w:val="24"/>
          <w:szCs w:val="24"/>
        </w:rPr>
      </w:pPr>
    </w:p>
    <w:p w:rsidR="00AE1FB2" w:rsidRDefault="00AE1FB2" w:rsidP="00AE1F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 – RS, 15</w:t>
      </w:r>
      <w:r>
        <w:rPr>
          <w:b/>
          <w:sz w:val="24"/>
          <w:szCs w:val="24"/>
        </w:rPr>
        <w:t xml:space="preserve"> de Abril de 2024.</w:t>
      </w:r>
    </w:p>
    <w:p w:rsidR="00AE1FB2" w:rsidRDefault="00AE1FB2" w:rsidP="00AE1FB2">
      <w:pPr>
        <w:jc w:val="center"/>
        <w:rPr>
          <w:b/>
          <w:sz w:val="24"/>
          <w:szCs w:val="24"/>
        </w:rPr>
      </w:pPr>
    </w:p>
    <w:p w:rsidR="00AE1FB2" w:rsidRDefault="00AE1FB2" w:rsidP="00AE1FB2">
      <w:pPr>
        <w:jc w:val="center"/>
        <w:rPr>
          <w:b/>
          <w:sz w:val="24"/>
          <w:szCs w:val="24"/>
        </w:rPr>
      </w:pPr>
    </w:p>
    <w:p w:rsidR="00AE1FB2" w:rsidRDefault="00AE1FB2" w:rsidP="00AE1F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AE1FB2" w:rsidRDefault="00AE1FB2" w:rsidP="00AE1FB2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AE1FB2" w:rsidRDefault="00AE1FB2" w:rsidP="00AE1F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3"/>
          <w:szCs w:val="23"/>
        </w:rPr>
        <w:t>JESSICA BRIZOLA FRIES</w:t>
      </w:r>
      <w:bookmarkStart w:id="0" w:name="_GoBack"/>
      <w:bookmarkEnd w:id="0"/>
    </w:p>
    <w:p w:rsidR="00AE1FB2" w:rsidRDefault="00AE1FB2" w:rsidP="00AE1FB2">
      <w:pPr>
        <w:jc w:val="both"/>
        <w:rPr>
          <w:rFonts w:ascii="Arial" w:hAnsi="Arial" w:cs="Arial"/>
          <w:sz w:val="23"/>
          <w:szCs w:val="23"/>
        </w:rPr>
      </w:pPr>
    </w:p>
    <w:p w:rsidR="00AE1FB2" w:rsidRDefault="00AE1FB2" w:rsidP="00AE1FB2"/>
    <w:p w:rsidR="00AE1FB2" w:rsidRDefault="00AE1FB2" w:rsidP="0015722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68653F" w:rsidRDefault="0068653F"/>
    <w:sectPr w:rsidR="0068653F" w:rsidSect="00D70AF9">
      <w:pgSz w:w="11906" w:h="16838"/>
      <w:pgMar w:top="3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F9" w:rsidRDefault="00D70AF9" w:rsidP="00D70AF9">
      <w:pPr>
        <w:spacing w:after="0" w:line="240" w:lineRule="auto"/>
      </w:pPr>
      <w:r>
        <w:separator/>
      </w:r>
    </w:p>
  </w:endnote>
  <w:endnote w:type="continuationSeparator" w:id="0">
    <w:p w:rsidR="00D70AF9" w:rsidRDefault="00D70AF9" w:rsidP="00D7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F9" w:rsidRDefault="00D70AF9" w:rsidP="00D70AF9">
      <w:pPr>
        <w:spacing w:after="0" w:line="240" w:lineRule="auto"/>
      </w:pPr>
      <w:r>
        <w:separator/>
      </w:r>
    </w:p>
  </w:footnote>
  <w:footnote w:type="continuationSeparator" w:id="0">
    <w:p w:rsidR="00D70AF9" w:rsidRDefault="00D70AF9" w:rsidP="00D70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F9"/>
    <w:rsid w:val="0015722A"/>
    <w:rsid w:val="0068653F"/>
    <w:rsid w:val="008D0A7A"/>
    <w:rsid w:val="00AE1FB2"/>
    <w:rsid w:val="00B22EE1"/>
    <w:rsid w:val="00C42649"/>
    <w:rsid w:val="00D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F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AF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7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AF9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1"/>
    <w:locked/>
    <w:rsid w:val="0015722A"/>
  </w:style>
  <w:style w:type="paragraph" w:styleId="PargrafodaLista">
    <w:name w:val="List Paragraph"/>
    <w:basedOn w:val="Normal"/>
    <w:link w:val="PargrafodaListaChar"/>
    <w:uiPriority w:val="1"/>
    <w:qFormat/>
    <w:rsid w:val="001572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15722A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15722A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F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AF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7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AF9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1"/>
    <w:locked/>
    <w:rsid w:val="0015722A"/>
  </w:style>
  <w:style w:type="paragraph" w:styleId="PargrafodaLista">
    <w:name w:val="List Paragraph"/>
    <w:basedOn w:val="Normal"/>
    <w:link w:val="PargrafodaListaChar"/>
    <w:uiPriority w:val="1"/>
    <w:qFormat/>
    <w:rsid w:val="001572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15722A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15722A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2945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2024-04-15T11:12:00Z</dcterms:created>
  <dcterms:modified xsi:type="dcterms:W3CDTF">2024-04-15T12:11:00Z</dcterms:modified>
</cp:coreProperties>
</file>