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03F" w:rsidRDefault="0057003F" w:rsidP="0057003F">
      <w:pPr>
        <w:spacing w:after="0" w:line="360" w:lineRule="auto"/>
        <w:ind w:right="0"/>
        <w:rPr>
          <w:rFonts w:ascii="Arial" w:eastAsia="Times New Roman" w:hAnsi="Arial" w:cs="Arial"/>
          <w:b/>
          <w:sz w:val="23"/>
          <w:szCs w:val="23"/>
        </w:rPr>
      </w:pPr>
      <w:r w:rsidRPr="004657D7">
        <w:rPr>
          <w:rFonts w:ascii="Arial" w:eastAsia="Times New Roman" w:hAnsi="Arial" w:cs="Arial"/>
          <w:b/>
          <w:sz w:val="23"/>
          <w:szCs w:val="23"/>
        </w:rPr>
        <w:t>CONTRATO N° 32/2025</w:t>
      </w:r>
    </w:p>
    <w:p w:rsidR="004657D7" w:rsidRPr="00572A25" w:rsidRDefault="004657D7" w:rsidP="004657D7">
      <w:pPr>
        <w:spacing w:after="0" w:line="360" w:lineRule="auto"/>
        <w:ind w:left="5670" w:right="0" w:firstLine="0"/>
        <w:rPr>
          <w:rFonts w:ascii="Arial" w:eastAsia="Times New Roman" w:hAnsi="Arial" w:cs="Arial"/>
          <w:b/>
          <w:sz w:val="23"/>
          <w:szCs w:val="23"/>
        </w:rPr>
      </w:pPr>
      <w:r>
        <w:rPr>
          <w:rFonts w:ascii="Arial" w:eastAsia="Times New Roman" w:hAnsi="Arial" w:cs="Arial"/>
          <w:b/>
          <w:sz w:val="23"/>
          <w:szCs w:val="23"/>
        </w:rPr>
        <w:t>CONTRATO QUE FAZEM ENTRE SI O MUNICIPIO DE LAJEADO DO BUGRE-RS E A EMPRESA, MOVESCO INDÚSTRIA E COMÉRCIO DE MÓVEIS ESCOLARES LTDA.</w:t>
      </w:r>
    </w:p>
    <w:p w:rsidR="0057003F" w:rsidRPr="0057003F" w:rsidRDefault="0057003F" w:rsidP="004657D7">
      <w:pPr>
        <w:spacing w:after="0" w:line="360" w:lineRule="auto"/>
        <w:ind w:left="0" w:right="0" w:firstLine="0"/>
        <w:rPr>
          <w:rFonts w:ascii="Arial" w:eastAsia="Times New Roman" w:hAnsi="Arial" w:cs="Arial"/>
          <w:b/>
          <w:szCs w:val="23"/>
        </w:rPr>
      </w:pPr>
    </w:p>
    <w:p w:rsidR="0057003F" w:rsidRDefault="0057003F" w:rsidP="002B3C5F">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pessoa jurídica de direito público, com sede à Rua Clementino Graminho, S/N, inscrito no CNPJ sob nº 92.410.448/0001-00, neste ato representado pelo seu Prefeito Municipal Sr. Ronaldo Machado da Silva de ora em diante denominado de CONTRATANTE, e de outro lado, a empres</w:t>
      </w:r>
      <w:r w:rsidR="004657D7">
        <w:rPr>
          <w:rFonts w:ascii="Arial" w:eastAsia="Times New Roman" w:hAnsi="Arial" w:cs="Arial"/>
          <w:sz w:val="23"/>
          <w:szCs w:val="23"/>
        </w:rPr>
        <w:t xml:space="preserve">a </w:t>
      </w:r>
      <w:r w:rsidR="004657D7">
        <w:rPr>
          <w:rFonts w:ascii="Arial" w:eastAsia="Times New Roman" w:hAnsi="Arial" w:cs="Arial"/>
          <w:b/>
          <w:sz w:val="23"/>
          <w:szCs w:val="23"/>
        </w:rPr>
        <w:t>MOVESCO INDÚSTRIA E COMÉRCIO DE MÓVEIS ESCOLARES LTDA</w:t>
      </w:r>
      <w:r w:rsidR="00D77E7C">
        <w:rPr>
          <w:rFonts w:ascii="Arial" w:eastAsia="Times New Roman" w:hAnsi="Arial" w:cs="Arial"/>
          <w:sz w:val="23"/>
          <w:szCs w:val="23"/>
        </w:rPr>
        <w:t>, com sede na BR 386, KM 341,5</w:t>
      </w:r>
      <w:r>
        <w:rPr>
          <w:rFonts w:ascii="Arial" w:eastAsia="Times New Roman" w:hAnsi="Arial" w:cs="Arial"/>
          <w:sz w:val="23"/>
          <w:szCs w:val="23"/>
        </w:rPr>
        <w:t>,</w:t>
      </w:r>
      <w:r w:rsidR="00D77E7C">
        <w:rPr>
          <w:rFonts w:ascii="Arial" w:eastAsia="Times New Roman" w:hAnsi="Arial" w:cs="Arial"/>
          <w:sz w:val="23"/>
          <w:szCs w:val="23"/>
        </w:rPr>
        <w:t xml:space="preserve"> N° 5876, Bairro Bom Pastor, na cidade de </w:t>
      </w:r>
      <w:proofErr w:type="spellStart"/>
      <w:r w:rsidR="00D77E7C">
        <w:rPr>
          <w:rFonts w:ascii="Arial" w:eastAsia="Times New Roman" w:hAnsi="Arial" w:cs="Arial"/>
          <w:sz w:val="23"/>
          <w:szCs w:val="23"/>
        </w:rPr>
        <w:t>Lajeado-Rs</w:t>
      </w:r>
      <w:proofErr w:type="spellEnd"/>
      <w:r>
        <w:rPr>
          <w:rFonts w:ascii="Arial" w:eastAsia="Times New Roman" w:hAnsi="Arial" w:cs="Arial"/>
          <w:sz w:val="23"/>
          <w:szCs w:val="23"/>
        </w:rPr>
        <w:t xml:space="preserve">, inscrita no CNPJ sob </w:t>
      </w:r>
      <w:r w:rsidR="00D77E7C">
        <w:rPr>
          <w:rFonts w:ascii="Arial" w:eastAsia="Times New Roman" w:hAnsi="Arial" w:cs="Arial"/>
          <w:sz w:val="23"/>
          <w:szCs w:val="23"/>
        </w:rPr>
        <w:t xml:space="preserve">nº 93.234.789/0001-26. </w:t>
      </w:r>
      <w:r>
        <w:rPr>
          <w:rFonts w:ascii="Arial" w:eastAsia="Times New Roman" w:hAnsi="Arial" w:cs="Arial"/>
          <w:sz w:val="23"/>
          <w:szCs w:val="23"/>
        </w:rPr>
        <w:t>Representado neste ato</w:t>
      </w:r>
      <w:r w:rsidR="008731ED">
        <w:rPr>
          <w:rFonts w:ascii="Arial" w:eastAsia="Times New Roman" w:hAnsi="Arial" w:cs="Arial"/>
          <w:sz w:val="23"/>
          <w:szCs w:val="23"/>
        </w:rPr>
        <w:t xml:space="preserve"> pelo seu sócio/ administrador </w:t>
      </w:r>
      <w:proofErr w:type="spellStart"/>
      <w:r w:rsidR="008731ED" w:rsidRPr="008731ED">
        <w:rPr>
          <w:rFonts w:ascii="Arial" w:eastAsia="Times New Roman" w:hAnsi="Arial" w:cs="Arial"/>
          <w:b/>
          <w:sz w:val="23"/>
          <w:szCs w:val="23"/>
        </w:rPr>
        <w:t>Lisete</w:t>
      </w:r>
      <w:proofErr w:type="spellEnd"/>
      <w:r w:rsidR="008731ED" w:rsidRPr="008731ED">
        <w:rPr>
          <w:rFonts w:ascii="Arial" w:eastAsia="Times New Roman" w:hAnsi="Arial" w:cs="Arial"/>
          <w:b/>
          <w:sz w:val="23"/>
          <w:szCs w:val="23"/>
        </w:rPr>
        <w:t xml:space="preserve"> </w:t>
      </w:r>
      <w:proofErr w:type="spellStart"/>
      <w:r w:rsidR="008731ED" w:rsidRPr="008731ED">
        <w:rPr>
          <w:rFonts w:ascii="Arial" w:eastAsia="Times New Roman" w:hAnsi="Arial" w:cs="Arial"/>
          <w:b/>
          <w:sz w:val="23"/>
          <w:szCs w:val="23"/>
        </w:rPr>
        <w:t>Leindecker</w:t>
      </w:r>
      <w:proofErr w:type="spellEnd"/>
      <w:r w:rsidR="008731ED" w:rsidRPr="008731ED">
        <w:rPr>
          <w:rFonts w:ascii="Arial" w:eastAsia="Times New Roman" w:hAnsi="Arial" w:cs="Arial"/>
          <w:b/>
          <w:sz w:val="23"/>
          <w:szCs w:val="23"/>
        </w:rPr>
        <w:t xml:space="preserve"> </w:t>
      </w:r>
      <w:proofErr w:type="spellStart"/>
      <w:r w:rsidR="008731ED" w:rsidRPr="008731ED">
        <w:rPr>
          <w:rFonts w:ascii="Arial" w:eastAsia="Times New Roman" w:hAnsi="Arial" w:cs="Arial"/>
          <w:b/>
          <w:sz w:val="23"/>
          <w:szCs w:val="23"/>
        </w:rPr>
        <w:t>Reiter</w:t>
      </w:r>
      <w:proofErr w:type="spellEnd"/>
      <w:r w:rsidR="00D76FAD">
        <w:rPr>
          <w:rFonts w:ascii="Arial" w:eastAsia="Times New Roman" w:hAnsi="Arial" w:cs="Arial"/>
          <w:sz w:val="23"/>
          <w:szCs w:val="23"/>
        </w:rPr>
        <w:t xml:space="preserve">, brasileira, empresária, portadora do RG n° 1016689026, CPF n° 368.476.580-53, </w:t>
      </w:r>
      <w:proofErr w:type="gramStart"/>
      <w:r>
        <w:rPr>
          <w:rFonts w:ascii="Arial" w:eastAsia="Times New Roman" w:hAnsi="Arial" w:cs="Arial"/>
          <w:sz w:val="23"/>
          <w:szCs w:val="23"/>
        </w:rPr>
        <w:t xml:space="preserve">doravante denominada de </w:t>
      </w:r>
      <w:r>
        <w:rPr>
          <w:rFonts w:ascii="Arial" w:eastAsia="Times New Roman" w:hAnsi="Arial" w:cs="Arial"/>
          <w:b/>
          <w:bCs/>
          <w:sz w:val="23"/>
          <w:szCs w:val="23"/>
        </w:rPr>
        <w:t>CONTRATADA</w:t>
      </w:r>
      <w:r>
        <w:rPr>
          <w:rFonts w:ascii="Arial" w:eastAsia="Times New Roman" w:hAnsi="Arial" w:cs="Arial"/>
          <w:sz w:val="23"/>
          <w:szCs w:val="23"/>
        </w:rPr>
        <w:t>, de comum acordo e amparado na Lei Federal</w:t>
      </w:r>
      <w:proofErr w:type="gramEnd"/>
      <w:r>
        <w:rPr>
          <w:rFonts w:ascii="Arial" w:eastAsia="Times New Roman" w:hAnsi="Arial" w:cs="Arial"/>
          <w:sz w:val="23"/>
          <w:szCs w:val="23"/>
        </w:rPr>
        <w:t xml:space="preserve"> n.º 14.133/21 e suas alterações posteriores, DECLARAM pelo presente instrumento e na melhor forma de direito e em conformidade com a </w:t>
      </w:r>
      <w:r>
        <w:rPr>
          <w:rFonts w:ascii="Arial" w:eastAsia="Times New Roman" w:hAnsi="Arial" w:cs="Arial"/>
          <w:b/>
          <w:bCs/>
          <w:sz w:val="23"/>
          <w:szCs w:val="23"/>
        </w:rPr>
        <w:t>Licitação na modalidade Pregão Eletrônico nº 03/2025</w:t>
      </w:r>
      <w:r>
        <w:rPr>
          <w:rFonts w:ascii="Arial" w:eastAsia="Times New Roman" w:hAnsi="Arial" w:cs="Arial"/>
          <w:sz w:val="23"/>
          <w:szCs w:val="23"/>
        </w:rPr>
        <w:t xml:space="preserve">, e pelos termos da proposta datada de 17/02/2025 e pelas cláusulas a seguir expressas, definidoras dos direitos, obrigações </w:t>
      </w:r>
      <w:r w:rsidR="002B3C5F">
        <w:rPr>
          <w:rFonts w:ascii="Arial" w:eastAsia="Times New Roman" w:hAnsi="Arial" w:cs="Arial"/>
          <w:sz w:val="23"/>
          <w:szCs w:val="23"/>
        </w:rPr>
        <w:t>e responsabilidades das partes.</w:t>
      </w:r>
    </w:p>
    <w:p w:rsidR="0057003F" w:rsidRDefault="0057003F" w:rsidP="0057003F">
      <w:pPr>
        <w:spacing w:after="0" w:line="240" w:lineRule="auto"/>
        <w:ind w:right="0"/>
        <w:rPr>
          <w:rFonts w:ascii="Arial" w:eastAsia="Times New Roman" w:hAnsi="Arial" w:cs="Arial"/>
          <w:sz w:val="23"/>
          <w:szCs w:val="23"/>
        </w:rPr>
      </w:pPr>
    </w:p>
    <w:p w:rsidR="0057003F" w:rsidRDefault="0057003F" w:rsidP="0057003F">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PRIMEIRA – OBJETO</w:t>
      </w:r>
    </w:p>
    <w:p w:rsidR="0057003F" w:rsidRDefault="0057003F" w:rsidP="0057003F">
      <w:pPr>
        <w:spacing w:line="240" w:lineRule="auto"/>
        <w:rPr>
          <w:rFonts w:ascii="Arial" w:eastAsia="Times New Roman" w:hAnsi="Arial" w:cs="Arial"/>
          <w:sz w:val="23"/>
          <w:szCs w:val="23"/>
        </w:rPr>
      </w:pPr>
      <w:r>
        <w:rPr>
          <w:rFonts w:ascii="Arial" w:eastAsia="Times New Roman" w:hAnsi="Arial" w:cs="Arial"/>
          <w:sz w:val="23"/>
          <w:szCs w:val="23"/>
        </w:rPr>
        <w:t>O presente processo tem por obje</w:t>
      </w:r>
      <w:r w:rsidR="00284B9F">
        <w:rPr>
          <w:rFonts w:ascii="Arial" w:eastAsia="Times New Roman" w:hAnsi="Arial" w:cs="Arial"/>
          <w:sz w:val="23"/>
          <w:szCs w:val="23"/>
        </w:rPr>
        <w:t>to, a compra de Móveis Escolares para as Escolas Municipais</w:t>
      </w:r>
      <w:r>
        <w:rPr>
          <w:rFonts w:ascii="Arial" w:eastAsia="Times New Roman" w:hAnsi="Arial" w:cs="Arial"/>
          <w:sz w:val="23"/>
          <w:szCs w:val="23"/>
        </w:rPr>
        <w:t xml:space="preserve"> do Município de Lajeado do Bugre.</w:t>
      </w:r>
    </w:p>
    <w:p w:rsidR="00284B9F" w:rsidRDefault="00284B9F" w:rsidP="00284B9F">
      <w:pPr>
        <w:spacing w:after="0" w:line="360" w:lineRule="auto"/>
        <w:ind w:left="0" w:right="0" w:firstLine="0"/>
        <w:rPr>
          <w:rFonts w:ascii="Arial" w:eastAsia="Times New Roman" w:hAnsi="Arial" w:cs="Arial"/>
          <w:sz w:val="23"/>
          <w:szCs w:val="23"/>
        </w:rPr>
      </w:pPr>
    </w:p>
    <w:tbl>
      <w:tblPr>
        <w:tblStyle w:val="Tabelacomgrade"/>
        <w:tblW w:w="0" w:type="auto"/>
        <w:tblLook w:val="04A0" w:firstRow="1" w:lastRow="0" w:firstColumn="1" w:lastColumn="0" w:noHBand="0" w:noVBand="1"/>
      </w:tblPr>
      <w:tblGrid>
        <w:gridCol w:w="803"/>
        <w:gridCol w:w="3857"/>
        <w:gridCol w:w="702"/>
        <w:gridCol w:w="613"/>
        <w:gridCol w:w="1504"/>
        <w:gridCol w:w="1667"/>
      </w:tblGrid>
      <w:tr w:rsidR="00284B9F" w:rsidRPr="006D3037" w:rsidTr="0047696A">
        <w:tc>
          <w:tcPr>
            <w:tcW w:w="803" w:type="dxa"/>
          </w:tcPr>
          <w:p w:rsidR="00284B9F" w:rsidRPr="006D3037" w:rsidRDefault="00284B9F" w:rsidP="00284B9F">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ITEM</w:t>
            </w:r>
          </w:p>
        </w:tc>
        <w:tc>
          <w:tcPr>
            <w:tcW w:w="3857" w:type="dxa"/>
          </w:tcPr>
          <w:p w:rsidR="00284B9F" w:rsidRPr="006D3037" w:rsidRDefault="00284B9F" w:rsidP="00284B9F">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DESCRIÇÃO</w:t>
            </w:r>
          </w:p>
        </w:tc>
        <w:tc>
          <w:tcPr>
            <w:tcW w:w="702" w:type="dxa"/>
          </w:tcPr>
          <w:p w:rsidR="00284B9F" w:rsidRPr="006D3037" w:rsidRDefault="00284B9F" w:rsidP="00284B9F">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QTD</w:t>
            </w:r>
          </w:p>
        </w:tc>
        <w:tc>
          <w:tcPr>
            <w:tcW w:w="613" w:type="dxa"/>
          </w:tcPr>
          <w:p w:rsidR="00284B9F" w:rsidRPr="006D3037" w:rsidRDefault="00284B9F" w:rsidP="00284B9F">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UNI</w:t>
            </w:r>
          </w:p>
        </w:tc>
        <w:tc>
          <w:tcPr>
            <w:tcW w:w="1504" w:type="dxa"/>
          </w:tcPr>
          <w:p w:rsidR="00284B9F" w:rsidRPr="006D3037" w:rsidRDefault="00284B9F" w:rsidP="00284B9F">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V. UNI</w:t>
            </w:r>
          </w:p>
        </w:tc>
        <w:tc>
          <w:tcPr>
            <w:tcW w:w="1667" w:type="dxa"/>
          </w:tcPr>
          <w:p w:rsidR="00284B9F" w:rsidRPr="006D3037" w:rsidRDefault="00284B9F" w:rsidP="00284B9F">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V. TOTAL</w:t>
            </w:r>
          </w:p>
        </w:tc>
      </w:tr>
      <w:tr w:rsidR="00284B9F" w:rsidTr="0047696A">
        <w:tc>
          <w:tcPr>
            <w:tcW w:w="803" w:type="dxa"/>
          </w:tcPr>
          <w:p w:rsidR="00284B9F" w:rsidRPr="006D3037" w:rsidRDefault="00284B9F" w:rsidP="00284B9F">
            <w:pPr>
              <w:spacing w:after="0" w:line="360" w:lineRule="auto"/>
              <w:ind w:left="0" w:right="0" w:firstLine="0"/>
              <w:rPr>
                <w:rFonts w:ascii="Arial" w:eastAsia="Times New Roman" w:hAnsi="Arial" w:cs="Arial"/>
                <w:b/>
                <w:sz w:val="23"/>
                <w:szCs w:val="23"/>
              </w:rPr>
            </w:pPr>
            <w:r w:rsidRPr="006D3037">
              <w:rPr>
                <w:rFonts w:ascii="Arial" w:eastAsia="Times New Roman" w:hAnsi="Arial" w:cs="Arial"/>
                <w:b/>
                <w:sz w:val="23"/>
                <w:szCs w:val="23"/>
              </w:rPr>
              <w:t>01</w:t>
            </w:r>
          </w:p>
        </w:tc>
        <w:tc>
          <w:tcPr>
            <w:tcW w:w="3857" w:type="dxa"/>
          </w:tcPr>
          <w:p w:rsidR="00FA4CB0" w:rsidRPr="001A3998" w:rsidRDefault="00F34E5D" w:rsidP="001A3998">
            <w:pPr>
              <w:spacing w:after="0" w:line="360" w:lineRule="auto"/>
              <w:ind w:left="0" w:right="0" w:firstLine="0"/>
              <w:rPr>
                <w:rFonts w:ascii="Arial" w:eastAsia="Times New Roman" w:hAnsi="Arial" w:cs="Arial"/>
                <w:sz w:val="23"/>
                <w:szCs w:val="23"/>
              </w:rPr>
            </w:pPr>
            <w:r w:rsidRPr="00F34E5D">
              <w:rPr>
                <w:rFonts w:ascii="Arial" w:eastAsia="Times New Roman" w:hAnsi="Arial" w:cs="Arial"/>
                <w:b/>
                <w:sz w:val="23"/>
                <w:szCs w:val="23"/>
              </w:rPr>
              <w:t xml:space="preserve">Conjunto refeitório </w:t>
            </w:r>
            <w:proofErr w:type="spellStart"/>
            <w:r w:rsidRPr="00F34E5D">
              <w:rPr>
                <w:rFonts w:ascii="Arial" w:eastAsia="Times New Roman" w:hAnsi="Arial" w:cs="Arial"/>
                <w:b/>
                <w:sz w:val="23"/>
                <w:szCs w:val="23"/>
              </w:rPr>
              <w:t>empilhável</w:t>
            </w:r>
            <w:proofErr w:type="spellEnd"/>
            <w:r w:rsidRPr="00F34E5D">
              <w:rPr>
                <w:rFonts w:ascii="Arial" w:eastAsia="Times New Roman" w:hAnsi="Arial" w:cs="Arial"/>
                <w:b/>
                <w:sz w:val="23"/>
                <w:szCs w:val="23"/>
              </w:rPr>
              <w:t xml:space="preserve"> –</w:t>
            </w:r>
            <w:r w:rsidR="00FA4CB0">
              <w:rPr>
                <w:rFonts w:ascii="Arial" w:eastAsia="Times New Roman" w:hAnsi="Arial" w:cs="Arial"/>
                <w:b/>
                <w:sz w:val="23"/>
                <w:szCs w:val="23"/>
              </w:rPr>
              <w:t xml:space="preserve"> 1 mesa e </w:t>
            </w:r>
            <w:proofErr w:type="gramStart"/>
            <w:r w:rsidR="00FA4CB0">
              <w:rPr>
                <w:rFonts w:ascii="Arial" w:eastAsia="Times New Roman" w:hAnsi="Arial" w:cs="Arial"/>
                <w:b/>
                <w:sz w:val="23"/>
                <w:szCs w:val="23"/>
              </w:rPr>
              <w:t>2</w:t>
            </w:r>
            <w:proofErr w:type="gramEnd"/>
            <w:r w:rsidR="00FA4CB0">
              <w:rPr>
                <w:rFonts w:ascii="Arial" w:eastAsia="Times New Roman" w:hAnsi="Arial" w:cs="Arial"/>
                <w:b/>
                <w:sz w:val="23"/>
                <w:szCs w:val="23"/>
              </w:rPr>
              <w:t xml:space="preserve"> bancos. Mesa</w:t>
            </w:r>
            <w:r w:rsidRPr="00F34E5D">
              <w:rPr>
                <w:rFonts w:ascii="Arial" w:eastAsia="Times New Roman" w:hAnsi="Arial" w:cs="Arial"/>
                <w:b/>
                <w:sz w:val="23"/>
                <w:szCs w:val="23"/>
              </w:rPr>
              <w:t xml:space="preserve">: </w:t>
            </w:r>
            <w:r w:rsidR="005B76C7">
              <w:rPr>
                <w:rFonts w:ascii="Arial" w:eastAsia="Times New Roman" w:hAnsi="Arial" w:cs="Arial"/>
                <w:sz w:val="23"/>
                <w:szCs w:val="23"/>
              </w:rPr>
              <w:t xml:space="preserve">Estrutura em tubo de aço industrial SAE 1006/1020 com os pés em </w:t>
            </w:r>
            <w:r w:rsidR="005B76C7">
              <w:rPr>
                <w:rFonts w:ascii="Arial" w:eastAsia="Times New Roman" w:hAnsi="Arial" w:cs="Arial"/>
                <w:sz w:val="23"/>
                <w:szCs w:val="23"/>
              </w:rPr>
              <w:lastRenderedPageBreak/>
              <w:t xml:space="preserve">tubo no mínimo em 30x50mm com parede mínima 1,20mm e </w:t>
            </w:r>
            <w:proofErr w:type="spellStart"/>
            <w:r w:rsidR="005B76C7">
              <w:rPr>
                <w:rFonts w:ascii="Arial" w:eastAsia="Times New Roman" w:hAnsi="Arial" w:cs="Arial"/>
                <w:sz w:val="23"/>
                <w:szCs w:val="23"/>
              </w:rPr>
              <w:t>requadro</w:t>
            </w:r>
            <w:proofErr w:type="spellEnd"/>
            <w:r w:rsidR="005B76C7">
              <w:rPr>
                <w:rFonts w:ascii="Arial" w:eastAsia="Times New Roman" w:hAnsi="Arial" w:cs="Arial"/>
                <w:sz w:val="23"/>
                <w:szCs w:val="23"/>
              </w:rPr>
              <w:t xml:space="preserve"> superior em tubo no mínimo 30x50mm com parede mínima 1,20mm que unidas entre si formam uma peça única. Na peça do </w:t>
            </w:r>
            <w:proofErr w:type="spellStart"/>
            <w:r w:rsidR="005B76C7">
              <w:rPr>
                <w:rFonts w:ascii="Arial" w:eastAsia="Times New Roman" w:hAnsi="Arial" w:cs="Arial"/>
                <w:sz w:val="23"/>
                <w:szCs w:val="23"/>
              </w:rPr>
              <w:t>requadro</w:t>
            </w:r>
            <w:proofErr w:type="spellEnd"/>
            <w:r w:rsidR="005B76C7">
              <w:rPr>
                <w:rFonts w:ascii="Arial" w:eastAsia="Times New Roman" w:hAnsi="Arial" w:cs="Arial"/>
                <w:sz w:val="23"/>
                <w:szCs w:val="23"/>
              </w:rPr>
              <w:t xml:space="preserve"> estão soldados seis suportes em tubo de aço nas dimensões mínimas 20x20x60mm com parede mínima 1,20mm essas servirão para fixação do tampo. Fechamento dos topos com ponteiras plásticas injetadas e fixadas através de </w:t>
            </w:r>
            <w:proofErr w:type="gramStart"/>
            <w:r w:rsidR="005B76C7">
              <w:rPr>
                <w:rFonts w:ascii="Arial" w:eastAsia="Times New Roman" w:hAnsi="Arial" w:cs="Arial"/>
                <w:sz w:val="23"/>
                <w:szCs w:val="23"/>
              </w:rPr>
              <w:t>encaixe .</w:t>
            </w:r>
            <w:proofErr w:type="gramEnd"/>
            <w:r w:rsidR="005B76C7">
              <w:rPr>
                <w:rFonts w:ascii="Arial" w:eastAsia="Times New Roman" w:hAnsi="Arial" w:cs="Arial"/>
                <w:sz w:val="23"/>
                <w:szCs w:val="23"/>
              </w:rPr>
              <w:t xml:space="preserve"> </w:t>
            </w:r>
            <w:proofErr w:type="gramStart"/>
            <w:r w:rsidR="005B76C7">
              <w:rPr>
                <w:rFonts w:ascii="Arial" w:eastAsia="Times New Roman" w:hAnsi="Arial" w:cs="Arial"/>
                <w:sz w:val="23"/>
                <w:szCs w:val="23"/>
              </w:rPr>
              <w:t>Soldagem dos componentes que formam a estrutura deverão ser</w:t>
            </w:r>
            <w:proofErr w:type="gramEnd"/>
            <w:r w:rsidR="005B76C7">
              <w:rPr>
                <w:rFonts w:ascii="Arial" w:eastAsia="Times New Roman" w:hAnsi="Arial" w:cs="Arial"/>
                <w:sz w:val="23"/>
                <w:szCs w:val="23"/>
              </w:rPr>
              <w:t xml:space="preserve"> ligados entre si através de solda pelo processo MIG ou similar em todas as junções. Pintura por sistema ELETROSTÁTICO em epóxi-pó, na cor preta, secagem em estufa. </w:t>
            </w:r>
            <w:proofErr w:type="gramStart"/>
            <w:r w:rsidR="005B76C7">
              <w:rPr>
                <w:rFonts w:ascii="Arial" w:eastAsia="Times New Roman" w:hAnsi="Arial" w:cs="Arial"/>
                <w:sz w:val="23"/>
                <w:szCs w:val="23"/>
              </w:rPr>
              <w:t>Dimensões aproximada</w:t>
            </w:r>
            <w:proofErr w:type="gramEnd"/>
            <w:r w:rsidR="005B76C7">
              <w:rPr>
                <w:rFonts w:ascii="Arial" w:eastAsia="Times New Roman" w:hAnsi="Arial" w:cs="Arial"/>
                <w:sz w:val="23"/>
                <w:szCs w:val="23"/>
              </w:rPr>
              <w:t xml:space="preserve">: Tampo: (2000 x 600mm) em </w:t>
            </w:r>
            <w:proofErr w:type="spellStart"/>
            <w:r w:rsidR="005B76C7">
              <w:rPr>
                <w:rFonts w:ascii="Arial" w:eastAsia="Times New Roman" w:hAnsi="Arial" w:cs="Arial"/>
                <w:sz w:val="23"/>
                <w:szCs w:val="23"/>
              </w:rPr>
              <w:t>mdf</w:t>
            </w:r>
            <w:proofErr w:type="spellEnd"/>
            <w:r w:rsidR="005B76C7">
              <w:rPr>
                <w:rFonts w:ascii="Arial" w:eastAsia="Times New Roman" w:hAnsi="Arial" w:cs="Arial"/>
                <w:sz w:val="23"/>
                <w:szCs w:val="23"/>
              </w:rPr>
              <w:t xml:space="preserve"> 15mm revestido com laminado </w:t>
            </w:r>
            <w:proofErr w:type="spellStart"/>
            <w:r w:rsidR="005B76C7">
              <w:rPr>
                <w:rFonts w:ascii="Arial" w:eastAsia="Times New Roman" w:hAnsi="Arial" w:cs="Arial"/>
                <w:sz w:val="23"/>
                <w:szCs w:val="23"/>
              </w:rPr>
              <w:t>melamínico</w:t>
            </w:r>
            <w:proofErr w:type="spellEnd"/>
            <w:r w:rsidR="005B76C7">
              <w:rPr>
                <w:rFonts w:ascii="Arial" w:eastAsia="Times New Roman" w:hAnsi="Arial" w:cs="Arial"/>
                <w:sz w:val="23"/>
                <w:szCs w:val="23"/>
              </w:rPr>
              <w:t xml:space="preserve"> de no mínimo 0,8mm de espessura. Acabamento das bordas com perfil de PVC </w:t>
            </w:r>
            <w:proofErr w:type="gramStart"/>
            <w:r w:rsidR="005B76C7">
              <w:rPr>
                <w:rFonts w:ascii="Arial" w:eastAsia="Times New Roman" w:hAnsi="Arial" w:cs="Arial"/>
                <w:sz w:val="23"/>
                <w:szCs w:val="23"/>
              </w:rPr>
              <w:t>2mm</w:t>
            </w:r>
            <w:proofErr w:type="gramEnd"/>
            <w:r w:rsidR="005B76C7">
              <w:rPr>
                <w:rFonts w:ascii="Arial" w:eastAsia="Times New Roman" w:hAnsi="Arial" w:cs="Arial"/>
                <w:sz w:val="23"/>
                <w:szCs w:val="23"/>
              </w:rPr>
              <w:t xml:space="preserve">. Fixado à estrutura através de seis parafusos. Cor do laminado </w:t>
            </w:r>
            <w:proofErr w:type="spellStart"/>
            <w:r w:rsidR="005B76C7">
              <w:rPr>
                <w:rFonts w:ascii="Arial" w:eastAsia="Times New Roman" w:hAnsi="Arial" w:cs="Arial"/>
                <w:sz w:val="23"/>
                <w:szCs w:val="23"/>
              </w:rPr>
              <w:t>melamínico</w:t>
            </w:r>
            <w:proofErr w:type="spellEnd"/>
            <w:r w:rsidR="005B76C7">
              <w:rPr>
                <w:rFonts w:ascii="Arial" w:eastAsia="Times New Roman" w:hAnsi="Arial" w:cs="Arial"/>
                <w:sz w:val="23"/>
                <w:szCs w:val="23"/>
              </w:rPr>
              <w:t xml:space="preserve"> a escolher. </w:t>
            </w:r>
            <w:r w:rsidR="005B76C7" w:rsidRPr="005B76C7">
              <w:rPr>
                <w:rFonts w:ascii="Arial" w:eastAsia="Times New Roman" w:hAnsi="Arial" w:cs="Arial"/>
                <w:b/>
                <w:sz w:val="23"/>
                <w:szCs w:val="23"/>
              </w:rPr>
              <w:t xml:space="preserve">Altura: </w:t>
            </w:r>
            <w:proofErr w:type="gramStart"/>
            <w:r w:rsidR="005B76C7" w:rsidRPr="005B76C7">
              <w:rPr>
                <w:rFonts w:ascii="Arial" w:eastAsia="Times New Roman" w:hAnsi="Arial" w:cs="Arial"/>
                <w:b/>
                <w:sz w:val="23"/>
                <w:szCs w:val="23"/>
              </w:rPr>
              <w:t>540mm</w:t>
            </w:r>
            <w:proofErr w:type="gramEnd"/>
            <w:r w:rsidR="005B76C7" w:rsidRPr="005B76C7">
              <w:rPr>
                <w:rFonts w:ascii="Arial" w:eastAsia="Times New Roman" w:hAnsi="Arial" w:cs="Arial"/>
                <w:b/>
                <w:sz w:val="23"/>
                <w:szCs w:val="23"/>
              </w:rPr>
              <w:t>.</w:t>
            </w:r>
            <w:r w:rsidR="005B76C7">
              <w:rPr>
                <w:rFonts w:ascii="Arial" w:eastAsia="Times New Roman" w:hAnsi="Arial" w:cs="Arial"/>
                <w:b/>
                <w:sz w:val="23"/>
                <w:szCs w:val="23"/>
              </w:rPr>
              <w:t xml:space="preserve"> </w:t>
            </w:r>
            <w:r w:rsidR="005B76C7">
              <w:rPr>
                <w:rFonts w:ascii="Arial" w:eastAsia="Times New Roman" w:hAnsi="Arial" w:cs="Arial"/>
                <w:sz w:val="23"/>
                <w:szCs w:val="23"/>
              </w:rPr>
              <w:t xml:space="preserve">Apresentar junto à </w:t>
            </w:r>
            <w:r w:rsidR="005B76C7">
              <w:rPr>
                <w:rFonts w:ascii="Arial" w:eastAsia="Times New Roman" w:hAnsi="Arial" w:cs="Arial"/>
                <w:sz w:val="23"/>
                <w:szCs w:val="23"/>
              </w:rPr>
              <w:lastRenderedPageBreak/>
              <w:t>proposta de preço</w:t>
            </w:r>
            <w:r w:rsidR="00A93BD8">
              <w:rPr>
                <w:rFonts w:ascii="Arial" w:eastAsia="Times New Roman" w:hAnsi="Arial" w:cs="Arial"/>
                <w:sz w:val="23"/>
                <w:szCs w:val="23"/>
              </w:rPr>
              <w:t>s Certificado da Qualidade do processo produtivo ISSO 9001:2015 ABNT/INMETRO, certificado do processo de preparação e pintura em superfícies metálicas, modelo 05 de certificação, relatório de ensaio do esforço de tração de no mínimo 12.000 kgf na região da solda, certificado de regularidade do cadastro técnico federal do IBAMA com data dentro da validade, que comprove que a empresa esta legalizada perante o órgão para industrialização de madeiras oriundas de florestas nativas ou de reflorestamento, tanto para os componentes de madeira bem com para as estruturas metálicas, conforme lei federal 6938/1981, junto com o Plano de Gerenciamento dos Resíduos Sólidos, com envio de no mínimo 03 (três</w:t>
            </w:r>
            <w:r w:rsidR="00FA4CB0">
              <w:rPr>
                <w:rFonts w:ascii="Arial" w:eastAsia="Times New Roman" w:hAnsi="Arial" w:cs="Arial"/>
                <w:sz w:val="23"/>
                <w:szCs w:val="23"/>
              </w:rPr>
              <w:t xml:space="preserve">) Comprovantes de Destinação Final de Resíduos, demonstrando a responsabilidade da empresa Fabricante do produto, com o meio ambiente e a saúde humana. Todos os relatórios em nome do fabricante. </w:t>
            </w:r>
            <w:r w:rsidR="00FA4CB0" w:rsidRPr="00FA4CB0">
              <w:rPr>
                <w:rFonts w:ascii="Arial" w:eastAsia="Times New Roman" w:hAnsi="Arial" w:cs="Arial"/>
                <w:b/>
                <w:sz w:val="23"/>
                <w:szCs w:val="23"/>
              </w:rPr>
              <w:t>Bancos:</w:t>
            </w:r>
            <w:r w:rsidR="00FA4CB0">
              <w:rPr>
                <w:rFonts w:ascii="Arial" w:eastAsia="Times New Roman" w:hAnsi="Arial" w:cs="Arial"/>
                <w:b/>
                <w:sz w:val="23"/>
                <w:szCs w:val="23"/>
              </w:rPr>
              <w:t xml:space="preserve"> </w:t>
            </w:r>
            <w:r w:rsidR="00FA4CB0">
              <w:rPr>
                <w:rFonts w:ascii="Arial" w:eastAsia="Times New Roman" w:hAnsi="Arial" w:cs="Arial"/>
                <w:sz w:val="23"/>
                <w:szCs w:val="23"/>
              </w:rPr>
              <w:t xml:space="preserve">Estrutura em tubo de aço industrial </w:t>
            </w:r>
            <w:r w:rsidR="00FA4CB0">
              <w:rPr>
                <w:rFonts w:ascii="Arial" w:eastAsia="Times New Roman" w:hAnsi="Arial" w:cs="Arial"/>
                <w:sz w:val="23"/>
                <w:szCs w:val="23"/>
              </w:rPr>
              <w:lastRenderedPageBreak/>
              <w:t xml:space="preserve">SAE 1006/1020 com os pés em tubo no mínimo em 30x50mm com parede mínima 1,20mm e </w:t>
            </w:r>
            <w:proofErr w:type="spellStart"/>
            <w:r w:rsidR="00FA4CB0">
              <w:rPr>
                <w:rFonts w:ascii="Arial" w:eastAsia="Times New Roman" w:hAnsi="Arial" w:cs="Arial"/>
                <w:sz w:val="23"/>
                <w:szCs w:val="23"/>
              </w:rPr>
              <w:t>requadro</w:t>
            </w:r>
            <w:proofErr w:type="spellEnd"/>
            <w:r w:rsidR="00FA4CB0">
              <w:rPr>
                <w:rFonts w:ascii="Arial" w:eastAsia="Times New Roman" w:hAnsi="Arial" w:cs="Arial"/>
                <w:sz w:val="23"/>
                <w:szCs w:val="23"/>
              </w:rPr>
              <w:t xml:space="preserve"> superior em tubo no mínimo 30x50mm </w:t>
            </w:r>
            <w:r w:rsidR="001A3998">
              <w:rPr>
                <w:rFonts w:ascii="Arial" w:eastAsia="Times New Roman" w:hAnsi="Arial" w:cs="Arial"/>
                <w:sz w:val="23"/>
                <w:szCs w:val="23"/>
              </w:rPr>
              <w:t xml:space="preserve">com parede mínima 1,20mm que unidas entre si formam uma peça única. Na peça do </w:t>
            </w:r>
            <w:proofErr w:type="spellStart"/>
            <w:r w:rsidR="001A3998">
              <w:rPr>
                <w:rFonts w:ascii="Arial" w:eastAsia="Times New Roman" w:hAnsi="Arial" w:cs="Arial"/>
                <w:sz w:val="23"/>
                <w:szCs w:val="23"/>
              </w:rPr>
              <w:t>requadro</w:t>
            </w:r>
            <w:proofErr w:type="spellEnd"/>
            <w:r w:rsidR="001A3998">
              <w:rPr>
                <w:rFonts w:ascii="Arial" w:eastAsia="Times New Roman" w:hAnsi="Arial" w:cs="Arial"/>
                <w:sz w:val="23"/>
                <w:szCs w:val="23"/>
              </w:rPr>
              <w:t xml:space="preserve"> estão soldados seis suportes em tubo de aço nas dimensões mínimas 20x20x60mm com parede mínima 1,20mm essas servirão para fixação do tampo. Fechamento dos topos com ponteiras plásticas injetadas e fixadas através de encaixe. </w:t>
            </w:r>
            <w:proofErr w:type="gramStart"/>
            <w:r w:rsidR="001A3998">
              <w:rPr>
                <w:rFonts w:ascii="Arial" w:eastAsia="Times New Roman" w:hAnsi="Arial" w:cs="Arial"/>
                <w:sz w:val="23"/>
                <w:szCs w:val="23"/>
              </w:rPr>
              <w:t>Soldagem dos componentes que formam a estrutura deverão ser</w:t>
            </w:r>
            <w:proofErr w:type="gramEnd"/>
            <w:r w:rsidR="001A3998">
              <w:rPr>
                <w:rFonts w:ascii="Arial" w:eastAsia="Times New Roman" w:hAnsi="Arial" w:cs="Arial"/>
                <w:sz w:val="23"/>
                <w:szCs w:val="23"/>
              </w:rPr>
              <w:t xml:space="preserve"> ligados entre si através de solda pelo processo MIG ou similar em todas as junções. Pintura por sistema ELETROSTÁTICO em epóxi-pó, na cor preta, secagem em estufa. </w:t>
            </w:r>
            <w:r w:rsidR="001A3998" w:rsidRPr="001A3998">
              <w:rPr>
                <w:rFonts w:ascii="Arial" w:eastAsia="Times New Roman" w:hAnsi="Arial" w:cs="Arial"/>
                <w:b/>
                <w:sz w:val="23"/>
                <w:szCs w:val="23"/>
              </w:rPr>
              <w:t xml:space="preserve">Assento </w:t>
            </w:r>
            <w:r w:rsidR="001A3998">
              <w:rPr>
                <w:rFonts w:ascii="Arial" w:eastAsia="Times New Roman" w:hAnsi="Arial" w:cs="Arial"/>
                <w:b/>
                <w:sz w:val="23"/>
                <w:szCs w:val="23"/>
              </w:rPr>
              <w:t>–</w:t>
            </w:r>
            <w:r w:rsidR="001A3998">
              <w:rPr>
                <w:rFonts w:ascii="Arial" w:eastAsia="Times New Roman" w:hAnsi="Arial" w:cs="Arial"/>
                <w:sz w:val="23"/>
                <w:szCs w:val="23"/>
              </w:rPr>
              <w:t xml:space="preserve"> medindo aproximadamente (1900x300mm) em </w:t>
            </w:r>
            <w:proofErr w:type="spellStart"/>
            <w:r w:rsidR="001A3998">
              <w:rPr>
                <w:rFonts w:ascii="Arial" w:eastAsia="Times New Roman" w:hAnsi="Arial" w:cs="Arial"/>
                <w:sz w:val="23"/>
                <w:szCs w:val="23"/>
              </w:rPr>
              <w:t>mdf</w:t>
            </w:r>
            <w:proofErr w:type="spellEnd"/>
            <w:r w:rsidR="001A3998">
              <w:rPr>
                <w:rFonts w:ascii="Arial" w:eastAsia="Times New Roman" w:hAnsi="Arial" w:cs="Arial"/>
                <w:sz w:val="23"/>
                <w:szCs w:val="23"/>
              </w:rPr>
              <w:t xml:space="preserve"> </w:t>
            </w:r>
            <w:proofErr w:type="gramStart"/>
            <w:r w:rsidR="001A3998">
              <w:rPr>
                <w:rFonts w:ascii="Arial" w:eastAsia="Times New Roman" w:hAnsi="Arial" w:cs="Arial"/>
                <w:sz w:val="23"/>
                <w:szCs w:val="23"/>
              </w:rPr>
              <w:t>15mm</w:t>
            </w:r>
            <w:proofErr w:type="gramEnd"/>
            <w:r w:rsidR="001A3998">
              <w:rPr>
                <w:rFonts w:ascii="Arial" w:eastAsia="Times New Roman" w:hAnsi="Arial" w:cs="Arial"/>
                <w:sz w:val="23"/>
                <w:szCs w:val="23"/>
              </w:rPr>
              <w:t xml:space="preserve"> de espessura revestido com laminado </w:t>
            </w:r>
            <w:proofErr w:type="spellStart"/>
            <w:r w:rsidR="001A3998">
              <w:rPr>
                <w:rFonts w:ascii="Arial" w:eastAsia="Times New Roman" w:hAnsi="Arial" w:cs="Arial"/>
                <w:sz w:val="23"/>
                <w:szCs w:val="23"/>
              </w:rPr>
              <w:t>melamínico</w:t>
            </w:r>
            <w:proofErr w:type="spellEnd"/>
            <w:r w:rsidR="001A3998">
              <w:rPr>
                <w:rFonts w:ascii="Arial" w:eastAsia="Times New Roman" w:hAnsi="Arial" w:cs="Arial"/>
                <w:sz w:val="23"/>
                <w:szCs w:val="23"/>
              </w:rPr>
              <w:t xml:space="preserve"> de 0,8mm de espessura. Acabamento das bordas com PVC colado a quente </w:t>
            </w:r>
            <w:proofErr w:type="gramStart"/>
            <w:r w:rsidR="001A3998">
              <w:rPr>
                <w:rFonts w:ascii="Arial" w:eastAsia="Times New Roman" w:hAnsi="Arial" w:cs="Arial"/>
                <w:sz w:val="23"/>
                <w:szCs w:val="23"/>
              </w:rPr>
              <w:t>2mm</w:t>
            </w:r>
            <w:proofErr w:type="gramEnd"/>
            <w:r w:rsidR="001A3998">
              <w:rPr>
                <w:rFonts w:ascii="Arial" w:eastAsia="Times New Roman" w:hAnsi="Arial" w:cs="Arial"/>
                <w:sz w:val="23"/>
                <w:szCs w:val="23"/>
              </w:rPr>
              <w:t xml:space="preserve">. Fixado à estrutura através de no mínimo seis parafusos. Cor do </w:t>
            </w:r>
            <w:r w:rsidR="001A3998">
              <w:rPr>
                <w:rFonts w:ascii="Arial" w:eastAsia="Times New Roman" w:hAnsi="Arial" w:cs="Arial"/>
                <w:sz w:val="23"/>
                <w:szCs w:val="23"/>
              </w:rPr>
              <w:lastRenderedPageBreak/>
              <w:t xml:space="preserve">laminado </w:t>
            </w:r>
            <w:proofErr w:type="spellStart"/>
            <w:r w:rsidR="001A3998">
              <w:rPr>
                <w:rFonts w:ascii="Arial" w:eastAsia="Times New Roman" w:hAnsi="Arial" w:cs="Arial"/>
                <w:sz w:val="23"/>
                <w:szCs w:val="23"/>
              </w:rPr>
              <w:t>melamínico</w:t>
            </w:r>
            <w:proofErr w:type="spellEnd"/>
            <w:r w:rsidR="001A3998">
              <w:rPr>
                <w:rFonts w:ascii="Arial" w:eastAsia="Times New Roman" w:hAnsi="Arial" w:cs="Arial"/>
                <w:sz w:val="23"/>
                <w:szCs w:val="23"/>
              </w:rPr>
              <w:t xml:space="preserve"> a escolher. </w:t>
            </w:r>
            <w:r w:rsidR="001A3998" w:rsidRPr="001A3998">
              <w:rPr>
                <w:rFonts w:ascii="Arial" w:eastAsia="Times New Roman" w:hAnsi="Arial" w:cs="Arial"/>
                <w:b/>
                <w:sz w:val="23"/>
                <w:szCs w:val="23"/>
              </w:rPr>
              <w:t>Altura:</w:t>
            </w:r>
            <w:r w:rsidR="001A3998">
              <w:rPr>
                <w:rFonts w:ascii="Arial" w:eastAsia="Times New Roman" w:hAnsi="Arial" w:cs="Arial"/>
                <w:b/>
                <w:sz w:val="23"/>
                <w:szCs w:val="23"/>
              </w:rPr>
              <w:t xml:space="preserve"> </w:t>
            </w:r>
            <w:proofErr w:type="gramStart"/>
            <w:r w:rsidR="001A3998" w:rsidRPr="001A3998">
              <w:rPr>
                <w:rFonts w:ascii="Arial" w:eastAsia="Times New Roman" w:hAnsi="Arial" w:cs="Arial"/>
                <w:b/>
                <w:sz w:val="23"/>
                <w:szCs w:val="23"/>
              </w:rPr>
              <w:t>300mm</w:t>
            </w:r>
            <w:proofErr w:type="gramEnd"/>
            <w:r w:rsidR="001A3998" w:rsidRPr="001A3998">
              <w:rPr>
                <w:rFonts w:ascii="Arial" w:eastAsia="Times New Roman" w:hAnsi="Arial" w:cs="Arial"/>
                <w:b/>
                <w:sz w:val="23"/>
                <w:szCs w:val="23"/>
              </w:rPr>
              <w:t>.</w:t>
            </w:r>
            <w:r w:rsidR="001A3998">
              <w:rPr>
                <w:rFonts w:ascii="Arial" w:eastAsia="Times New Roman" w:hAnsi="Arial" w:cs="Arial"/>
                <w:sz w:val="23"/>
                <w:szCs w:val="23"/>
              </w:rPr>
              <w:t xml:space="preserve"> Garantia de 12 meses em nome do fabricante. </w:t>
            </w:r>
            <w:r w:rsidR="001A3998" w:rsidRPr="001A3998">
              <w:rPr>
                <w:rFonts w:ascii="Arial" w:eastAsia="Times New Roman" w:hAnsi="Arial" w:cs="Arial"/>
                <w:b/>
                <w:sz w:val="23"/>
                <w:szCs w:val="23"/>
              </w:rPr>
              <w:t>LAMINADO MELAMÍNICO:</w:t>
            </w:r>
            <w:r w:rsidR="001A3998">
              <w:rPr>
                <w:rFonts w:ascii="Arial" w:eastAsia="Times New Roman" w:hAnsi="Arial" w:cs="Arial"/>
                <w:b/>
                <w:sz w:val="23"/>
                <w:szCs w:val="23"/>
              </w:rPr>
              <w:t xml:space="preserve"> </w:t>
            </w:r>
            <w:r w:rsidR="001A3998">
              <w:rPr>
                <w:rFonts w:ascii="Arial" w:eastAsia="Times New Roman" w:hAnsi="Arial" w:cs="Arial"/>
                <w:sz w:val="23"/>
                <w:szCs w:val="23"/>
              </w:rPr>
              <w:t>Bege, branco, verde, azul, amarelo, vermelho e rosa.</w:t>
            </w:r>
            <w:bookmarkStart w:id="0" w:name="_GoBack"/>
            <w:bookmarkEnd w:id="0"/>
          </w:p>
        </w:tc>
        <w:tc>
          <w:tcPr>
            <w:tcW w:w="702" w:type="dxa"/>
          </w:tcPr>
          <w:p w:rsidR="00284B9F" w:rsidRPr="00284B9F" w:rsidRDefault="00284B9F" w:rsidP="00284B9F">
            <w:pPr>
              <w:spacing w:after="0" w:line="360" w:lineRule="auto"/>
              <w:ind w:left="0" w:right="0" w:firstLine="0"/>
              <w:rPr>
                <w:rFonts w:ascii="Arial" w:eastAsia="Times New Roman" w:hAnsi="Arial" w:cs="Arial"/>
                <w:sz w:val="28"/>
                <w:szCs w:val="23"/>
              </w:rPr>
            </w:pPr>
            <w:r w:rsidRPr="00284B9F">
              <w:rPr>
                <w:rFonts w:ascii="Arial" w:eastAsia="Times New Roman" w:hAnsi="Arial" w:cs="Arial"/>
                <w:szCs w:val="23"/>
              </w:rPr>
              <w:lastRenderedPageBreak/>
              <w:t xml:space="preserve"> </w:t>
            </w:r>
            <w:r>
              <w:rPr>
                <w:rFonts w:ascii="Arial" w:eastAsia="Times New Roman" w:hAnsi="Arial" w:cs="Arial"/>
                <w:szCs w:val="23"/>
              </w:rPr>
              <w:t xml:space="preserve"> </w:t>
            </w:r>
            <w:proofErr w:type="gramStart"/>
            <w:r w:rsidRPr="00284B9F">
              <w:rPr>
                <w:rFonts w:ascii="Arial" w:eastAsia="Times New Roman" w:hAnsi="Arial" w:cs="Arial"/>
                <w:szCs w:val="23"/>
              </w:rPr>
              <w:t>3</w:t>
            </w:r>
            <w:proofErr w:type="gramEnd"/>
          </w:p>
        </w:tc>
        <w:tc>
          <w:tcPr>
            <w:tcW w:w="613" w:type="dxa"/>
          </w:tcPr>
          <w:p w:rsidR="00284B9F" w:rsidRDefault="00284B9F" w:rsidP="00284B9F">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UN</w:t>
            </w:r>
          </w:p>
        </w:tc>
        <w:tc>
          <w:tcPr>
            <w:tcW w:w="1504" w:type="dxa"/>
          </w:tcPr>
          <w:p w:rsidR="00284B9F" w:rsidRDefault="0047696A" w:rsidP="00284B9F">
            <w:pPr>
              <w:spacing w:after="0" w:line="360"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RS:</w:t>
            </w:r>
            <w:proofErr w:type="gramEnd"/>
            <w:r>
              <w:rPr>
                <w:rFonts w:ascii="Arial" w:eastAsia="Times New Roman" w:hAnsi="Arial" w:cs="Arial"/>
                <w:sz w:val="23"/>
                <w:szCs w:val="23"/>
              </w:rPr>
              <w:t>1.894,00</w:t>
            </w:r>
          </w:p>
        </w:tc>
        <w:tc>
          <w:tcPr>
            <w:tcW w:w="1667" w:type="dxa"/>
          </w:tcPr>
          <w:p w:rsidR="00284B9F" w:rsidRDefault="0047696A" w:rsidP="00284B9F">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RS: 5.682,00</w:t>
            </w:r>
          </w:p>
        </w:tc>
      </w:tr>
    </w:tbl>
    <w:p w:rsidR="0057003F" w:rsidRPr="0047696A" w:rsidRDefault="0047696A" w:rsidP="0047696A">
      <w:pPr>
        <w:spacing w:after="0" w:line="240" w:lineRule="auto"/>
        <w:ind w:right="0"/>
        <w:jc w:val="right"/>
        <w:rPr>
          <w:rFonts w:ascii="Arial" w:eastAsia="Times New Roman" w:hAnsi="Arial" w:cs="Arial"/>
          <w:b/>
          <w:sz w:val="23"/>
          <w:szCs w:val="23"/>
        </w:rPr>
      </w:pPr>
      <w:r w:rsidRPr="0047696A">
        <w:rPr>
          <w:rFonts w:ascii="Arial" w:eastAsia="Times New Roman" w:hAnsi="Arial" w:cs="Arial"/>
          <w:b/>
          <w:sz w:val="23"/>
          <w:szCs w:val="23"/>
        </w:rPr>
        <w:lastRenderedPageBreak/>
        <w:t>TOTAL GERAL: 5.682,00</w:t>
      </w:r>
    </w:p>
    <w:p w:rsidR="0047696A" w:rsidRDefault="0047696A" w:rsidP="0057003F">
      <w:pPr>
        <w:spacing w:after="0" w:line="360" w:lineRule="auto"/>
        <w:ind w:right="0"/>
        <w:rPr>
          <w:rFonts w:ascii="Arial" w:eastAsia="Times New Roman" w:hAnsi="Arial" w:cs="Arial"/>
          <w:b/>
          <w:bCs/>
          <w:sz w:val="23"/>
          <w:szCs w:val="23"/>
        </w:rPr>
      </w:pPr>
    </w:p>
    <w:p w:rsidR="0057003F" w:rsidRDefault="0057003F" w:rsidP="0057003F">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 xml:space="preserve">A presente contratação fundamenta-se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57003F" w:rsidRDefault="0057003F" w:rsidP="0057003F">
      <w:pPr>
        <w:spacing w:after="0" w:line="276" w:lineRule="auto"/>
        <w:ind w:right="0"/>
        <w:rPr>
          <w:rFonts w:ascii="Arial" w:eastAsia="Times New Roman" w:hAnsi="Arial" w:cs="Arial"/>
          <w:color w:val="000009"/>
          <w:sz w:val="23"/>
          <w:szCs w:val="23"/>
        </w:rPr>
      </w:pPr>
    </w:p>
    <w:p w:rsidR="0057003F" w:rsidRDefault="0057003F" w:rsidP="0057003F">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TERCEIRA – DO PREÇO</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O preço t</w:t>
      </w:r>
      <w:r w:rsidR="00BE619F">
        <w:rPr>
          <w:rFonts w:ascii="Arial" w:eastAsia="Times New Roman" w:hAnsi="Arial" w:cs="Arial"/>
          <w:color w:val="000009"/>
          <w:sz w:val="23"/>
          <w:szCs w:val="23"/>
        </w:rPr>
        <w:t>otal da aquisição se</w:t>
      </w:r>
      <w:r w:rsidR="000F5F4D">
        <w:rPr>
          <w:rFonts w:ascii="Arial" w:eastAsia="Times New Roman" w:hAnsi="Arial" w:cs="Arial"/>
          <w:color w:val="000009"/>
          <w:sz w:val="23"/>
          <w:szCs w:val="23"/>
        </w:rPr>
        <w:t xml:space="preserve">rá de </w:t>
      </w:r>
      <w:r w:rsidR="000F5F4D" w:rsidRPr="000F5F4D">
        <w:rPr>
          <w:rFonts w:ascii="Arial" w:eastAsia="Times New Roman" w:hAnsi="Arial" w:cs="Arial"/>
          <w:b/>
          <w:color w:val="000009"/>
          <w:sz w:val="23"/>
          <w:szCs w:val="23"/>
        </w:rPr>
        <w:t>5.682,00</w:t>
      </w:r>
      <w:r w:rsidR="000F5F4D">
        <w:rPr>
          <w:rFonts w:ascii="Arial" w:eastAsia="Times New Roman" w:hAnsi="Arial" w:cs="Arial"/>
          <w:color w:val="000009"/>
          <w:sz w:val="23"/>
          <w:szCs w:val="23"/>
        </w:rPr>
        <w:t xml:space="preserve"> (cinco mil, seiscentos e oitenta e dois reais)</w:t>
      </w:r>
      <w:r>
        <w:rPr>
          <w:rFonts w:ascii="Arial" w:eastAsia="Times New Roman" w:hAnsi="Arial" w:cs="Arial"/>
          <w:color w:val="000009"/>
          <w:sz w:val="23"/>
          <w:szCs w:val="23"/>
        </w:rPr>
        <w:t>, que deverá ser pago em moeda corrente, em conta bancária a ser informada.</w:t>
      </w:r>
    </w:p>
    <w:p w:rsidR="0057003F" w:rsidRDefault="0057003F" w:rsidP="0057003F">
      <w:pPr>
        <w:spacing w:after="0" w:line="276" w:lineRule="auto"/>
        <w:ind w:right="0"/>
        <w:rPr>
          <w:rFonts w:ascii="Arial" w:eastAsia="Times New Roman" w:hAnsi="Arial" w:cs="Arial"/>
          <w:color w:val="000009"/>
          <w:sz w:val="23"/>
          <w:szCs w:val="23"/>
        </w:rPr>
      </w:pPr>
    </w:p>
    <w:p w:rsidR="0057003F" w:rsidRDefault="0057003F" w:rsidP="0057003F">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QUARTA – DO PAGAMENTO</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Os pagamentos serão efetuados em </w:t>
      </w:r>
      <w:proofErr w:type="gramStart"/>
      <w:r>
        <w:rPr>
          <w:rFonts w:ascii="Arial" w:eastAsia="Times New Roman" w:hAnsi="Arial" w:cs="Arial"/>
          <w:sz w:val="23"/>
          <w:szCs w:val="23"/>
        </w:rPr>
        <w:t>3</w:t>
      </w:r>
      <w:proofErr w:type="gramEnd"/>
      <w:r>
        <w:rPr>
          <w:rFonts w:ascii="Arial" w:eastAsia="Times New Roman" w:hAnsi="Arial" w:cs="Arial"/>
          <w:sz w:val="23"/>
          <w:szCs w:val="23"/>
        </w:rPr>
        <w:t xml:space="preserve"> Vezes, sendo a primeira em 10 dias após entrega e as demais em 30 dias subsequentes, e acompanhados dos documentos fiscais devidamente liquidados pelo referido Setor.</w:t>
      </w:r>
    </w:p>
    <w:p w:rsidR="0057003F" w:rsidRDefault="0057003F" w:rsidP="0057003F">
      <w:pPr>
        <w:spacing w:after="0" w:line="360" w:lineRule="auto"/>
        <w:ind w:right="0"/>
        <w:rPr>
          <w:rFonts w:ascii="Arial" w:eastAsia="Times New Roman" w:hAnsi="Arial" w:cs="Arial"/>
          <w:sz w:val="23"/>
          <w:szCs w:val="23"/>
        </w:rPr>
      </w:pPr>
    </w:p>
    <w:p w:rsidR="0057003F" w:rsidRDefault="0057003F" w:rsidP="0057003F">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57003F" w:rsidRDefault="0057003F" w:rsidP="0057003F">
      <w:pPr>
        <w:spacing w:after="0" w:line="276" w:lineRule="auto"/>
        <w:ind w:right="0"/>
        <w:rPr>
          <w:rFonts w:ascii="Arial" w:eastAsia="Times New Roman" w:hAnsi="Arial" w:cs="Arial"/>
          <w:sz w:val="23"/>
          <w:szCs w:val="23"/>
        </w:rPr>
      </w:pPr>
    </w:p>
    <w:p w:rsidR="0057003F" w:rsidRDefault="0057003F" w:rsidP="0057003F">
      <w:pPr>
        <w:tabs>
          <w:tab w:val="left" w:pos="142"/>
        </w:tabs>
        <w:spacing w:after="0" w:line="360" w:lineRule="auto"/>
        <w:ind w:right="193"/>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57003F" w:rsidRDefault="0057003F" w:rsidP="0057003F">
      <w:pPr>
        <w:spacing w:after="0" w:line="276" w:lineRule="auto"/>
        <w:ind w:right="0"/>
        <w:rPr>
          <w:rFonts w:ascii="Arial" w:eastAsia="Times New Roman" w:hAnsi="Arial" w:cs="Arial"/>
          <w:sz w:val="23"/>
          <w:szCs w:val="23"/>
        </w:rPr>
      </w:pPr>
    </w:p>
    <w:p w:rsidR="0057003F" w:rsidRDefault="0057003F" w:rsidP="0057003F">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SÉTIMA – DA VALIDADE DA CONTRATAÇÃO</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color w:val="000009"/>
          <w:sz w:val="23"/>
          <w:szCs w:val="23"/>
        </w:rPr>
        <w:lastRenderedPageBreak/>
        <w:t xml:space="preserve">7.1. </w:t>
      </w:r>
      <w:r>
        <w:rPr>
          <w:rFonts w:ascii="Arial" w:eastAsia="Times New Roman" w:hAnsi="Arial" w:cs="Arial"/>
          <w:sz w:val="23"/>
          <w:szCs w:val="23"/>
        </w:rPr>
        <w:t>O prazo de vigência da contratação será de 90 (noventa) dias, não podendo ser prorrogado.</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contratação ficará adstrita à vigência dos respectivos créditos orçamentários, com fundamento no caput do Art. 105, da Lei 14.133/2021</w:t>
      </w:r>
      <w:r>
        <w:rPr>
          <w:rFonts w:ascii="Arial" w:eastAsia="Times New Roman" w:hAnsi="Arial" w:cs="Arial"/>
          <w:color w:val="000009"/>
          <w:sz w:val="23"/>
          <w:szCs w:val="23"/>
        </w:rPr>
        <w:t>.</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57003F" w:rsidRDefault="0057003F" w:rsidP="0057003F">
      <w:pPr>
        <w:spacing w:after="0" w:line="276" w:lineRule="auto"/>
        <w:ind w:right="0"/>
        <w:rPr>
          <w:rFonts w:ascii="Arial" w:eastAsia="Times New Roman" w:hAnsi="Arial" w:cs="Arial"/>
          <w:color w:val="000009"/>
          <w:sz w:val="23"/>
          <w:szCs w:val="23"/>
        </w:rPr>
      </w:pPr>
    </w:p>
    <w:p w:rsidR="0057003F" w:rsidRDefault="0057003F" w:rsidP="0057003F">
      <w:pPr>
        <w:spacing w:after="0" w:line="360" w:lineRule="auto"/>
        <w:ind w:right="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DA CONTRATAÇÃO</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r>
        <w:rPr>
          <w:rFonts w:ascii="Arial" w:eastAsia="Times New Roman" w:hAnsi="Arial" w:cs="Arial"/>
          <w:color w:val="000009"/>
          <w:sz w:val="23"/>
          <w:szCs w:val="23"/>
        </w:rPr>
        <w:t xml:space="preserve">A presente contratação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contratação, a qual deverá ser formalmente motivada nos autos do processo, assegurados o contraditório e a ampla defesa. </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contratação;</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lastRenderedPageBreak/>
        <w:t xml:space="preserve">i) </w:t>
      </w:r>
      <w:r>
        <w:rPr>
          <w:rFonts w:ascii="Arial" w:eastAsia="Times New Roman" w:hAnsi="Arial" w:cs="Arial"/>
          <w:color w:val="000009"/>
          <w:sz w:val="23"/>
          <w:szCs w:val="23"/>
        </w:rPr>
        <w:t>em qualquer das hipóteses de inexecução total ou parcial de contrato decorrente deste instrumento;</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contratação nas seguintes hipóteses:</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 contratação.</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contratação </w:t>
      </w:r>
      <w:proofErr w:type="gramStart"/>
      <w:r>
        <w:rPr>
          <w:rFonts w:ascii="Arial" w:eastAsia="Times New Roman" w:hAnsi="Arial" w:cs="Arial"/>
          <w:color w:val="000009"/>
          <w:sz w:val="23"/>
          <w:szCs w:val="23"/>
        </w:rPr>
        <w:t>deverá</w:t>
      </w:r>
      <w:proofErr w:type="gramEnd"/>
      <w:r>
        <w:rPr>
          <w:rFonts w:ascii="Arial" w:eastAsia="Times New Roman" w:hAnsi="Arial" w:cs="Arial"/>
          <w:color w:val="000009"/>
          <w:sz w:val="23"/>
          <w:szCs w:val="23"/>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da Contratação.</w:t>
      </w:r>
    </w:p>
    <w:p w:rsidR="0057003F" w:rsidRDefault="0057003F" w:rsidP="0057003F">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57003F" w:rsidRDefault="0057003F" w:rsidP="0057003F">
      <w:pPr>
        <w:spacing w:after="0" w:line="276" w:lineRule="auto"/>
        <w:ind w:right="0"/>
        <w:rPr>
          <w:rFonts w:ascii="Arial" w:eastAsia="Times New Roman" w:hAnsi="Arial" w:cs="Arial"/>
          <w:color w:val="000009"/>
          <w:sz w:val="23"/>
          <w:szCs w:val="23"/>
        </w:rPr>
      </w:pPr>
    </w:p>
    <w:p w:rsidR="0057003F" w:rsidRDefault="0057003F" w:rsidP="0057003F">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bens/produtos serão solicitados uma única vez, sendo que a entrega deverá ser em até 05 (cinco) dias, a contar da solicitação da Secretaria solicitante.</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bens/produtos deverão ser entregues nos endereços indicados na Ordem de Entrega, que deverá ser indicado pelo secretário solicitante.</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Deverá constar em cada Nota Fiscal a quantidade de volumes que serão entregues.</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w:t>
      </w:r>
      <w:r w:rsidR="00A4774E">
        <w:rPr>
          <w:rFonts w:ascii="Arial" w:eastAsia="Times New Roman" w:hAnsi="Arial" w:cs="Arial"/>
          <w:sz w:val="23"/>
          <w:szCs w:val="23"/>
        </w:rPr>
        <w:t xml:space="preserve"> </w:t>
      </w:r>
      <w:r>
        <w:rPr>
          <w:rFonts w:ascii="Arial" w:eastAsia="Times New Roman" w:hAnsi="Arial" w:cs="Arial"/>
          <w:sz w:val="23"/>
          <w:szCs w:val="23"/>
        </w:rPr>
        <w:t>parâmetros solicitados, atendam aos padrões exigidos pelo Mercado, e que forem entregues de acordo com o estabelecido no item anterior.</w:t>
      </w:r>
    </w:p>
    <w:p w:rsidR="0057003F" w:rsidRDefault="0057003F" w:rsidP="0057003F">
      <w:pPr>
        <w:spacing w:after="0" w:line="240" w:lineRule="auto"/>
        <w:ind w:right="0"/>
        <w:rPr>
          <w:rFonts w:ascii="Arial" w:eastAsia="Times New Roman" w:hAnsi="Arial" w:cs="Arial"/>
          <w:sz w:val="23"/>
          <w:szCs w:val="23"/>
        </w:rPr>
      </w:pPr>
    </w:p>
    <w:p w:rsidR="0057003F" w:rsidRDefault="0057003F" w:rsidP="0057003F">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sz w:val="23"/>
          <w:szCs w:val="23"/>
        </w:rPr>
        <w:t>a) Acompanhar e fiscalizar os produtos entregues;</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57003F" w:rsidRDefault="0057003F" w:rsidP="0057003F">
      <w:pPr>
        <w:spacing w:after="0" w:line="360" w:lineRule="auto"/>
        <w:ind w:right="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57003F" w:rsidRDefault="0057003F" w:rsidP="0057003F">
      <w:pPr>
        <w:spacing w:after="0" w:line="240" w:lineRule="auto"/>
        <w:ind w:right="0"/>
        <w:rPr>
          <w:rFonts w:ascii="Arial" w:eastAsia="Times New Roman" w:hAnsi="Arial" w:cs="Arial"/>
          <w:sz w:val="23"/>
          <w:szCs w:val="23"/>
        </w:rPr>
      </w:pPr>
    </w:p>
    <w:p w:rsidR="0057003F" w:rsidRDefault="0057003F" w:rsidP="0057003F">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57003F" w:rsidRDefault="0057003F" w:rsidP="0057003F">
      <w:pPr>
        <w:tabs>
          <w:tab w:val="left" w:pos="142"/>
        </w:tabs>
        <w:spacing w:after="0" w:line="360" w:lineRule="auto"/>
        <w:ind w:right="193"/>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sz w:val="23"/>
          <w:szCs w:val="23"/>
        </w:rPr>
        <w:t>I - Advertência.</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sz w:val="23"/>
          <w:szCs w:val="23"/>
        </w:rPr>
        <w:lastRenderedPageBreak/>
        <w:t>II - Multa de 5% sobre o valor mensal do contrato por dia de atraso na execução do objeto contratado, salvo justificativa aceitas pelo Município.</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sz w:val="23"/>
          <w:szCs w:val="23"/>
        </w:rPr>
        <w:t>IV - Declaração de Inidoneidade.</w:t>
      </w:r>
    </w:p>
    <w:p w:rsidR="0057003F" w:rsidRDefault="0057003F" w:rsidP="0057003F">
      <w:pPr>
        <w:spacing w:after="0" w:line="240" w:lineRule="auto"/>
        <w:ind w:right="0"/>
        <w:rPr>
          <w:rFonts w:ascii="Arial" w:eastAsia="Times New Roman" w:hAnsi="Arial" w:cs="Arial"/>
          <w:sz w:val="23"/>
          <w:szCs w:val="23"/>
        </w:rPr>
      </w:pPr>
    </w:p>
    <w:p w:rsidR="0057003F" w:rsidRDefault="0057003F" w:rsidP="0057003F">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57003F" w:rsidRDefault="0057003F" w:rsidP="0057003F">
      <w:pPr>
        <w:spacing w:after="0" w:line="360" w:lineRule="auto"/>
        <w:ind w:right="0"/>
        <w:rPr>
          <w:rFonts w:ascii="Arial" w:eastAsia="Times New Roman" w:hAnsi="Arial" w:cs="Arial"/>
          <w:sz w:val="23"/>
          <w:szCs w:val="23"/>
        </w:rPr>
      </w:pPr>
    </w:p>
    <w:p w:rsidR="0057003F" w:rsidRDefault="0057003F" w:rsidP="0057003F">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57003F" w:rsidRDefault="0057003F" w:rsidP="0057003F">
      <w:pPr>
        <w:spacing w:after="0" w:line="360" w:lineRule="auto"/>
        <w:ind w:right="0"/>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57003F" w:rsidRDefault="0057003F" w:rsidP="0057003F">
      <w:pPr>
        <w:spacing w:after="0" w:line="360" w:lineRule="auto"/>
        <w:ind w:left="0" w:right="0" w:firstLine="0"/>
        <w:rPr>
          <w:rFonts w:ascii="Arial" w:eastAsia="Times New Roman" w:hAnsi="Arial" w:cs="Arial"/>
          <w:sz w:val="23"/>
          <w:szCs w:val="23"/>
        </w:rPr>
      </w:pPr>
    </w:p>
    <w:p w:rsidR="004445CB" w:rsidRDefault="004445CB" w:rsidP="00A4774E">
      <w:pPr>
        <w:spacing w:after="0" w:line="360" w:lineRule="auto"/>
        <w:ind w:left="0" w:right="0" w:firstLine="0"/>
        <w:jc w:val="center"/>
        <w:rPr>
          <w:rFonts w:ascii="Arial" w:eastAsia="Times New Roman" w:hAnsi="Arial" w:cs="Arial"/>
          <w:b/>
          <w:sz w:val="23"/>
          <w:szCs w:val="23"/>
        </w:rPr>
      </w:pPr>
    </w:p>
    <w:p w:rsidR="00A4774E" w:rsidRDefault="0057003F" w:rsidP="00A4774E">
      <w:pPr>
        <w:spacing w:after="0" w:line="360" w:lineRule="auto"/>
        <w:ind w:left="0" w:right="0" w:firstLine="0"/>
        <w:jc w:val="center"/>
        <w:rPr>
          <w:rFonts w:ascii="Arial" w:eastAsia="Times New Roman" w:hAnsi="Arial" w:cs="Arial"/>
          <w:b/>
          <w:sz w:val="23"/>
          <w:szCs w:val="23"/>
        </w:rPr>
      </w:pPr>
      <w:r w:rsidRPr="000F5F4D">
        <w:rPr>
          <w:rFonts w:ascii="Arial" w:eastAsia="Times New Roman" w:hAnsi="Arial" w:cs="Arial"/>
          <w:b/>
          <w:sz w:val="23"/>
          <w:szCs w:val="23"/>
        </w:rPr>
        <w:t>Lajeado do Bugr</w:t>
      </w:r>
      <w:r w:rsidR="00A4774E">
        <w:rPr>
          <w:rFonts w:ascii="Arial" w:eastAsia="Times New Roman" w:hAnsi="Arial" w:cs="Arial"/>
          <w:b/>
          <w:sz w:val="23"/>
          <w:szCs w:val="23"/>
        </w:rPr>
        <w:t>e - RS, 26 de fevereiro de 2025.</w:t>
      </w:r>
    </w:p>
    <w:p w:rsidR="004445CB" w:rsidRDefault="004445CB" w:rsidP="00A4774E">
      <w:pPr>
        <w:spacing w:after="0" w:line="360" w:lineRule="auto"/>
        <w:ind w:left="0" w:right="0" w:firstLine="0"/>
        <w:jc w:val="center"/>
        <w:rPr>
          <w:rFonts w:ascii="Arial" w:eastAsia="Times New Roman" w:hAnsi="Arial" w:cs="Arial"/>
          <w:b/>
          <w:sz w:val="23"/>
          <w:szCs w:val="23"/>
        </w:rPr>
      </w:pPr>
    </w:p>
    <w:p w:rsidR="004445CB" w:rsidRDefault="004445CB" w:rsidP="00A4774E">
      <w:pPr>
        <w:spacing w:after="0" w:line="360" w:lineRule="auto"/>
        <w:ind w:left="0" w:right="0" w:firstLine="0"/>
        <w:jc w:val="center"/>
        <w:rPr>
          <w:rFonts w:ascii="Arial" w:eastAsia="Times New Roman" w:hAnsi="Arial" w:cs="Arial"/>
          <w:b/>
          <w:sz w:val="23"/>
          <w:szCs w:val="23"/>
        </w:rPr>
      </w:pPr>
    </w:p>
    <w:p w:rsidR="004445CB" w:rsidRDefault="004445CB" w:rsidP="00A4774E">
      <w:pPr>
        <w:spacing w:after="0" w:line="360" w:lineRule="auto"/>
        <w:ind w:left="0" w:right="0" w:firstLine="0"/>
        <w:jc w:val="center"/>
        <w:rPr>
          <w:rFonts w:ascii="Arial" w:eastAsia="Times New Roman" w:hAnsi="Arial" w:cs="Arial"/>
          <w:b/>
          <w:sz w:val="23"/>
          <w:szCs w:val="23"/>
        </w:rPr>
      </w:pPr>
    </w:p>
    <w:p w:rsidR="004445CB" w:rsidRDefault="004445CB" w:rsidP="00A4774E">
      <w:pPr>
        <w:spacing w:after="0" w:line="360" w:lineRule="auto"/>
        <w:ind w:left="0" w:right="0" w:firstLine="0"/>
        <w:jc w:val="center"/>
        <w:rPr>
          <w:rFonts w:ascii="Arial" w:eastAsia="Times New Roman" w:hAnsi="Arial" w:cs="Arial"/>
          <w:b/>
          <w:sz w:val="23"/>
          <w:szCs w:val="23"/>
        </w:rPr>
      </w:pPr>
    </w:p>
    <w:p w:rsidR="00A4774E" w:rsidRDefault="004445CB" w:rsidP="004445CB">
      <w:pPr>
        <w:spacing w:after="0" w:line="360" w:lineRule="auto"/>
        <w:ind w:left="0" w:right="0" w:firstLine="0"/>
        <w:rPr>
          <w:rFonts w:ascii="Arial" w:eastAsia="Times New Roman" w:hAnsi="Arial" w:cs="Arial"/>
          <w:b/>
          <w:sz w:val="23"/>
          <w:szCs w:val="23"/>
        </w:rPr>
      </w:pPr>
      <w:r>
        <w:rPr>
          <w:rFonts w:ascii="Arial" w:eastAsia="Times New Roman" w:hAnsi="Arial" w:cs="Arial"/>
          <w:b/>
          <w:sz w:val="23"/>
          <w:szCs w:val="23"/>
        </w:rPr>
        <w:t xml:space="preserve">       ___</w:t>
      </w:r>
      <w:r w:rsidR="00A4774E">
        <w:rPr>
          <w:rFonts w:ascii="Arial" w:eastAsia="Times New Roman" w:hAnsi="Arial" w:cs="Arial"/>
          <w:b/>
          <w:sz w:val="23"/>
          <w:szCs w:val="23"/>
        </w:rPr>
        <w:t>______________________</w:t>
      </w:r>
      <w:r>
        <w:rPr>
          <w:rFonts w:ascii="Arial" w:eastAsia="Times New Roman" w:hAnsi="Arial" w:cs="Arial"/>
          <w:b/>
          <w:sz w:val="23"/>
          <w:szCs w:val="23"/>
        </w:rPr>
        <w:t xml:space="preserve">         </w:t>
      </w:r>
      <w:r w:rsidR="00A4774E">
        <w:rPr>
          <w:rFonts w:ascii="Arial" w:eastAsia="Times New Roman" w:hAnsi="Arial" w:cs="Arial"/>
          <w:b/>
          <w:sz w:val="23"/>
          <w:szCs w:val="23"/>
        </w:rPr>
        <w:t xml:space="preserve">   </w:t>
      </w:r>
      <w:r>
        <w:rPr>
          <w:rFonts w:ascii="Arial" w:eastAsia="Times New Roman" w:hAnsi="Arial" w:cs="Arial"/>
          <w:b/>
          <w:sz w:val="23"/>
          <w:szCs w:val="23"/>
        </w:rPr>
        <w:t xml:space="preserve">               ___</w:t>
      </w:r>
      <w:r w:rsidR="00A4774E">
        <w:rPr>
          <w:rFonts w:ascii="Arial" w:eastAsia="Times New Roman" w:hAnsi="Arial" w:cs="Arial"/>
          <w:b/>
          <w:sz w:val="23"/>
          <w:szCs w:val="23"/>
        </w:rPr>
        <w:t>______________________</w:t>
      </w:r>
    </w:p>
    <w:p w:rsidR="004445CB" w:rsidRDefault="004445CB" w:rsidP="004445CB">
      <w:pPr>
        <w:spacing w:after="0" w:line="360" w:lineRule="auto"/>
        <w:ind w:left="0" w:right="0" w:firstLine="0"/>
        <w:rPr>
          <w:rFonts w:ascii="Arial" w:eastAsia="Times New Roman" w:hAnsi="Arial" w:cs="Arial"/>
          <w:b/>
          <w:sz w:val="23"/>
          <w:szCs w:val="23"/>
        </w:rPr>
      </w:pPr>
      <w:r>
        <w:rPr>
          <w:rFonts w:ascii="Arial" w:eastAsia="Times New Roman" w:hAnsi="Arial" w:cs="Arial"/>
          <w:b/>
          <w:sz w:val="23"/>
          <w:szCs w:val="23"/>
        </w:rPr>
        <w:t xml:space="preserve">     </w:t>
      </w:r>
      <w:r w:rsidR="00A4774E">
        <w:rPr>
          <w:rFonts w:ascii="Arial" w:eastAsia="Times New Roman" w:hAnsi="Arial" w:cs="Arial"/>
          <w:b/>
          <w:sz w:val="23"/>
          <w:szCs w:val="23"/>
        </w:rPr>
        <w:t xml:space="preserve">RONALDO MACHADO </w:t>
      </w:r>
      <w:r>
        <w:rPr>
          <w:rFonts w:ascii="Arial" w:eastAsia="Times New Roman" w:hAnsi="Arial" w:cs="Arial"/>
          <w:b/>
          <w:sz w:val="23"/>
          <w:szCs w:val="23"/>
        </w:rPr>
        <w:t xml:space="preserve">DA SILVA                       </w:t>
      </w:r>
      <w:r w:rsidR="00A4774E">
        <w:rPr>
          <w:rFonts w:ascii="Arial" w:eastAsia="Times New Roman" w:hAnsi="Arial" w:cs="Arial"/>
          <w:b/>
          <w:sz w:val="23"/>
          <w:szCs w:val="23"/>
        </w:rPr>
        <w:t>LISETE LEINDECKER REITER</w:t>
      </w:r>
    </w:p>
    <w:p w:rsidR="004445CB" w:rsidRDefault="004445CB" w:rsidP="004445CB">
      <w:pPr>
        <w:spacing w:after="0" w:line="360" w:lineRule="auto"/>
        <w:ind w:left="0" w:right="0" w:firstLine="0"/>
        <w:jc w:val="left"/>
        <w:rPr>
          <w:rFonts w:ascii="Arial" w:eastAsia="Times New Roman" w:hAnsi="Arial" w:cs="Arial"/>
          <w:b/>
          <w:sz w:val="23"/>
          <w:szCs w:val="23"/>
        </w:rPr>
      </w:pPr>
      <w:r>
        <w:rPr>
          <w:rFonts w:ascii="Arial" w:eastAsia="Times New Roman" w:hAnsi="Arial" w:cs="Arial"/>
          <w:sz w:val="23"/>
          <w:szCs w:val="23"/>
        </w:rPr>
        <w:t xml:space="preserve">    </w:t>
      </w:r>
      <w:r w:rsidRPr="004445CB">
        <w:rPr>
          <w:rFonts w:ascii="Arial" w:eastAsia="Times New Roman" w:hAnsi="Arial" w:cs="Arial"/>
          <w:sz w:val="23"/>
          <w:szCs w:val="23"/>
        </w:rPr>
        <w:t xml:space="preserve"> Prefeito Municipal</w:t>
      </w:r>
      <w:r>
        <w:rPr>
          <w:rFonts w:ascii="Arial" w:eastAsia="Times New Roman" w:hAnsi="Arial" w:cs="Arial"/>
          <w:b/>
          <w:sz w:val="23"/>
          <w:szCs w:val="23"/>
        </w:rPr>
        <w:t xml:space="preserve">                                                  </w:t>
      </w:r>
      <w:proofErr w:type="gramStart"/>
      <w:r>
        <w:rPr>
          <w:rFonts w:ascii="Arial" w:eastAsia="Times New Roman" w:hAnsi="Arial" w:cs="Arial"/>
          <w:sz w:val="23"/>
          <w:szCs w:val="23"/>
        </w:rPr>
        <w:t>Sócia/administradora</w:t>
      </w:r>
      <w:proofErr w:type="gramEnd"/>
    </w:p>
    <w:p w:rsidR="004445CB" w:rsidRPr="004445CB" w:rsidRDefault="004445CB" w:rsidP="004445CB">
      <w:pPr>
        <w:spacing w:after="0" w:line="360" w:lineRule="auto"/>
        <w:ind w:left="0" w:right="0" w:firstLine="0"/>
        <w:jc w:val="left"/>
        <w:rPr>
          <w:rFonts w:ascii="Arial" w:eastAsia="Times New Roman" w:hAnsi="Arial" w:cs="Arial"/>
          <w:sz w:val="23"/>
          <w:szCs w:val="23"/>
        </w:rPr>
        <w:sectPr w:rsidR="004445CB" w:rsidRPr="004445CB" w:rsidSect="00AD534F">
          <w:pgSz w:w="11900" w:h="16840"/>
          <w:pgMar w:top="2525" w:right="987" w:bottom="1843" w:left="1559" w:header="0" w:footer="1100" w:gutter="0"/>
          <w:cols w:space="720"/>
          <w:docGrid w:linePitch="326"/>
        </w:sectPr>
      </w:pPr>
      <w:r>
        <w:rPr>
          <w:rFonts w:ascii="Arial" w:eastAsia="Times New Roman" w:hAnsi="Arial" w:cs="Arial"/>
          <w:sz w:val="23"/>
          <w:szCs w:val="23"/>
        </w:rPr>
        <w:t xml:space="preserve">     </w:t>
      </w:r>
      <w:r w:rsidRPr="004445CB">
        <w:rPr>
          <w:rFonts w:ascii="Arial" w:eastAsia="Times New Roman" w:hAnsi="Arial" w:cs="Arial"/>
          <w:sz w:val="23"/>
          <w:szCs w:val="23"/>
        </w:rPr>
        <w:t xml:space="preserve">CONTRATANTE        </w:t>
      </w:r>
      <w:r>
        <w:rPr>
          <w:rFonts w:ascii="Arial" w:eastAsia="Times New Roman" w:hAnsi="Arial" w:cs="Arial"/>
          <w:sz w:val="23"/>
          <w:szCs w:val="23"/>
        </w:rPr>
        <w:t xml:space="preserve">                                            CONTRATADA                                        </w:t>
      </w:r>
    </w:p>
    <w:p w:rsidR="00A4774E" w:rsidRDefault="00A4774E" w:rsidP="00A4774E">
      <w:pPr>
        <w:spacing w:after="0" w:line="360" w:lineRule="auto"/>
        <w:ind w:left="0" w:right="0" w:firstLine="0"/>
        <w:rPr>
          <w:rFonts w:ascii="Arial" w:eastAsia="Times New Roman" w:hAnsi="Arial" w:cs="Arial"/>
          <w:b/>
          <w:sz w:val="23"/>
          <w:szCs w:val="23"/>
        </w:rPr>
      </w:pPr>
    </w:p>
    <w:p w:rsidR="000F5F4D" w:rsidRDefault="000F5F4D" w:rsidP="000F5F4D">
      <w:pPr>
        <w:tabs>
          <w:tab w:val="left" w:pos="142"/>
        </w:tabs>
        <w:spacing w:after="0" w:line="360" w:lineRule="auto"/>
        <w:ind w:left="0" w:right="193" w:firstLine="0"/>
        <w:rPr>
          <w:rFonts w:ascii="Arial" w:eastAsia="Times New Roman" w:hAnsi="Arial" w:cs="Arial"/>
          <w:b/>
          <w:sz w:val="23"/>
          <w:szCs w:val="23"/>
        </w:rPr>
      </w:pPr>
    </w:p>
    <w:p w:rsidR="00EF349B" w:rsidRDefault="00EF349B"/>
    <w:sectPr w:rsidR="00EF349B" w:rsidSect="00A4774E">
      <w:headerReference w:type="default" r:id="rId7"/>
      <w:pgSz w:w="11906" w:h="16838"/>
      <w:pgMar w:top="1417" w:right="1701" w:bottom="1417" w:left="1701" w:header="708" w:footer="8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A7" w:rsidRDefault="000A22A7" w:rsidP="00284B9F">
      <w:pPr>
        <w:spacing w:after="0" w:line="240" w:lineRule="auto"/>
      </w:pPr>
      <w:r>
        <w:separator/>
      </w:r>
    </w:p>
  </w:endnote>
  <w:endnote w:type="continuationSeparator" w:id="0">
    <w:p w:rsidR="000A22A7" w:rsidRDefault="000A22A7" w:rsidP="0028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A7" w:rsidRDefault="000A22A7" w:rsidP="00284B9F">
      <w:pPr>
        <w:spacing w:after="0" w:line="240" w:lineRule="auto"/>
      </w:pPr>
      <w:r>
        <w:separator/>
      </w:r>
    </w:p>
  </w:footnote>
  <w:footnote w:type="continuationSeparator" w:id="0">
    <w:p w:rsidR="000A22A7" w:rsidRDefault="000A22A7" w:rsidP="00284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2A7" w:rsidRDefault="000A22A7" w:rsidP="00284B9F">
    <w:pPr>
      <w:pStyle w:val="Cabealho"/>
      <w:ind w:right="-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3F"/>
    <w:rsid w:val="000A22A7"/>
    <w:rsid w:val="000F5F4D"/>
    <w:rsid w:val="001A3998"/>
    <w:rsid w:val="00284B9F"/>
    <w:rsid w:val="002B3C5F"/>
    <w:rsid w:val="004445CB"/>
    <w:rsid w:val="004657D7"/>
    <w:rsid w:val="0047696A"/>
    <w:rsid w:val="0057003F"/>
    <w:rsid w:val="005B76C7"/>
    <w:rsid w:val="008731ED"/>
    <w:rsid w:val="009D3E37"/>
    <w:rsid w:val="00A33641"/>
    <w:rsid w:val="00A4774E"/>
    <w:rsid w:val="00A93BD8"/>
    <w:rsid w:val="00AD534F"/>
    <w:rsid w:val="00B27332"/>
    <w:rsid w:val="00BE619F"/>
    <w:rsid w:val="00C44B76"/>
    <w:rsid w:val="00D76FAD"/>
    <w:rsid w:val="00D77E7C"/>
    <w:rsid w:val="00EF349B"/>
    <w:rsid w:val="00F34E5D"/>
    <w:rsid w:val="00F44F8C"/>
    <w:rsid w:val="00FA4C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03F"/>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84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84B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B9F"/>
    <w:rPr>
      <w:rFonts w:ascii="Calibri" w:eastAsia="Calibri" w:hAnsi="Calibri" w:cs="Calibri"/>
      <w:color w:val="000000"/>
      <w:sz w:val="24"/>
      <w:lang w:eastAsia="pt-BR"/>
    </w:rPr>
  </w:style>
  <w:style w:type="paragraph" w:styleId="Rodap">
    <w:name w:val="footer"/>
    <w:basedOn w:val="Normal"/>
    <w:link w:val="RodapChar"/>
    <w:uiPriority w:val="99"/>
    <w:unhideWhenUsed/>
    <w:rsid w:val="00284B9F"/>
    <w:pPr>
      <w:tabs>
        <w:tab w:val="center" w:pos="4252"/>
        <w:tab w:val="right" w:pos="8504"/>
      </w:tabs>
      <w:spacing w:after="0" w:line="240" w:lineRule="auto"/>
    </w:pPr>
  </w:style>
  <w:style w:type="character" w:customStyle="1" w:styleId="RodapChar">
    <w:name w:val="Rodapé Char"/>
    <w:basedOn w:val="Fontepargpadro"/>
    <w:link w:val="Rodap"/>
    <w:uiPriority w:val="99"/>
    <w:rsid w:val="00284B9F"/>
    <w:rPr>
      <w:rFonts w:ascii="Calibri" w:eastAsia="Calibri" w:hAnsi="Calibri" w:cs="Calibri"/>
      <w:color w:val="000000"/>
      <w:sz w:val="24"/>
      <w:lang w:eastAsia="pt-BR"/>
    </w:rPr>
  </w:style>
  <w:style w:type="paragraph" w:styleId="Textodebalo">
    <w:name w:val="Balloon Text"/>
    <w:basedOn w:val="Normal"/>
    <w:link w:val="TextodebaloChar"/>
    <w:uiPriority w:val="99"/>
    <w:semiHidden/>
    <w:unhideWhenUsed/>
    <w:rsid w:val="00AD53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534F"/>
    <w:rPr>
      <w:rFonts w:ascii="Tahoma" w:eastAsia="Calibri"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03F"/>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84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84B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B9F"/>
    <w:rPr>
      <w:rFonts w:ascii="Calibri" w:eastAsia="Calibri" w:hAnsi="Calibri" w:cs="Calibri"/>
      <w:color w:val="000000"/>
      <w:sz w:val="24"/>
      <w:lang w:eastAsia="pt-BR"/>
    </w:rPr>
  </w:style>
  <w:style w:type="paragraph" w:styleId="Rodap">
    <w:name w:val="footer"/>
    <w:basedOn w:val="Normal"/>
    <w:link w:val="RodapChar"/>
    <w:uiPriority w:val="99"/>
    <w:unhideWhenUsed/>
    <w:rsid w:val="00284B9F"/>
    <w:pPr>
      <w:tabs>
        <w:tab w:val="center" w:pos="4252"/>
        <w:tab w:val="right" w:pos="8504"/>
      </w:tabs>
      <w:spacing w:after="0" w:line="240" w:lineRule="auto"/>
    </w:pPr>
  </w:style>
  <w:style w:type="character" w:customStyle="1" w:styleId="RodapChar">
    <w:name w:val="Rodapé Char"/>
    <w:basedOn w:val="Fontepargpadro"/>
    <w:link w:val="Rodap"/>
    <w:uiPriority w:val="99"/>
    <w:rsid w:val="00284B9F"/>
    <w:rPr>
      <w:rFonts w:ascii="Calibri" w:eastAsia="Calibri" w:hAnsi="Calibri" w:cs="Calibri"/>
      <w:color w:val="000000"/>
      <w:sz w:val="24"/>
      <w:lang w:eastAsia="pt-BR"/>
    </w:rPr>
  </w:style>
  <w:style w:type="paragraph" w:styleId="Textodebalo">
    <w:name w:val="Balloon Text"/>
    <w:basedOn w:val="Normal"/>
    <w:link w:val="TextodebaloChar"/>
    <w:uiPriority w:val="99"/>
    <w:semiHidden/>
    <w:unhideWhenUsed/>
    <w:rsid w:val="00AD53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534F"/>
    <w:rPr>
      <w:rFonts w:ascii="Tahoma" w:eastAsia="Calibri"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10</Pages>
  <Words>1953</Words>
  <Characters>10549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15</cp:revision>
  <cp:lastPrinted>2025-02-27T12:47:00Z</cp:lastPrinted>
  <dcterms:created xsi:type="dcterms:W3CDTF">2025-02-26T15:14:00Z</dcterms:created>
  <dcterms:modified xsi:type="dcterms:W3CDTF">2025-02-27T13:05:00Z</dcterms:modified>
</cp:coreProperties>
</file>