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78B" w:rsidRDefault="00920632" w:rsidP="0044078B">
      <w:pPr>
        <w:rPr>
          <w:rFonts w:ascii="Arial" w:hAnsi="Arial" w:cs="Arial"/>
          <w:b/>
          <w:sz w:val="23"/>
          <w:szCs w:val="23"/>
        </w:rPr>
      </w:pPr>
      <w:r>
        <w:rPr>
          <w:rFonts w:ascii="Arial" w:hAnsi="Arial" w:cs="Arial"/>
          <w:b/>
          <w:sz w:val="23"/>
          <w:szCs w:val="23"/>
        </w:rPr>
        <w:t>CONTRATO Nº 60</w:t>
      </w:r>
      <w:r w:rsidR="0044078B">
        <w:rPr>
          <w:rFonts w:ascii="Arial" w:hAnsi="Arial" w:cs="Arial"/>
          <w:b/>
          <w:sz w:val="23"/>
          <w:szCs w:val="23"/>
        </w:rPr>
        <w:t>/2024</w:t>
      </w:r>
    </w:p>
    <w:p w:rsidR="0044078B" w:rsidRDefault="0044078B" w:rsidP="0044078B">
      <w:pPr>
        <w:spacing w:line="276" w:lineRule="auto"/>
        <w:ind w:left="4395"/>
        <w:jc w:val="both"/>
        <w:rPr>
          <w:rFonts w:ascii="Arial" w:hAnsi="Arial" w:cs="Arial"/>
          <w:b/>
          <w:sz w:val="23"/>
          <w:szCs w:val="23"/>
        </w:rPr>
      </w:pPr>
      <w:r>
        <w:rPr>
          <w:rFonts w:ascii="Arial" w:hAnsi="Arial" w:cs="Arial"/>
          <w:b/>
          <w:sz w:val="23"/>
          <w:szCs w:val="23"/>
        </w:rPr>
        <w:t>CONTRATO DE FORNECIMENTO QUE FAZEM ENTRE SI O MUNICIPIO DE LAJEADO DO BUGRE</w:t>
      </w:r>
      <w:r w:rsidR="00D00D22">
        <w:rPr>
          <w:rFonts w:ascii="Arial" w:hAnsi="Arial" w:cs="Arial"/>
          <w:b/>
          <w:sz w:val="23"/>
          <w:szCs w:val="23"/>
        </w:rPr>
        <w:t xml:space="preserve"> - RS, E A EMPRESA SERVIOESTE SOLUÇÕES AMBIENTAIS LTDA</w:t>
      </w:r>
      <w:r>
        <w:rPr>
          <w:rFonts w:ascii="Arial" w:hAnsi="Arial" w:cs="Arial"/>
          <w:b/>
          <w:sz w:val="23"/>
          <w:szCs w:val="23"/>
        </w:rPr>
        <w:t>.</w:t>
      </w:r>
    </w:p>
    <w:p w:rsidR="0044078B" w:rsidRDefault="0044078B" w:rsidP="0044078B">
      <w:pPr>
        <w:spacing w:line="276" w:lineRule="auto"/>
        <w:ind w:left="4395"/>
        <w:jc w:val="both"/>
        <w:rPr>
          <w:rFonts w:ascii="Arial" w:hAnsi="Arial" w:cs="Arial"/>
          <w:b/>
          <w:sz w:val="23"/>
          <w:szCs w:val="23"/>
        </w:rPr>
      </w:pPr>
    </w:p>
    <w:p w:rsidR="006F317B" w:rsidRDefault="0044078B" w:rsidP="006F317B">
      <w:pPr>
        <w:ind w:firstLine="708"/>
        <w:jc w:val="both"/>
        <w:rPr>
          <w:rFonts w:ascii="Arial" w:hAnsi="Arial" w:cs="Arial"/>
          <w:sz w:val="23"/>
          <w:szCs w:val="23"/>
        </w:rPr>
      </w:pPr>
      <w:r>
        <w:rPr>
          <w:rFonts w:ascii="Arial" w:hAnsi="Arial" w:cs="Arial"/>
          <w:sz w:val="23"/>
          <w:szCs w:val="23"/>
        </w:rPr>
        <w:t xml:space="preserve">Pelo presente instrumento particular de Contrato de fornecimento, que entre si fazem </w:t>
      </w:r>
      <w:r>
        <w:rPr>
          <w:rFonts w:ascii="Arial" w:hAnsi="Arial" w:cs="Arial"/>
          <w:b/>
          <w:sz w:val="23"/>
          <w:szCs w:val="23"/>
        </w:rPr>
        <w:t>o MUNICÍPIO DE LAJEADO DO BUGRE/RS</w:t>
      </w:r>
      <w:r>
        <w:rPr>
          <w:rFonts w:ascii="Arial" w:hAnsi="Arial" w:cs="Arial"/>
          <w:sz w:val="23"/>
          <w:szCs w:val="23"/>
        </w:rPr>
        <w:t xml:space="preserve">, pessoa jurídica de direito público interno, estabelecida na Rua Clementino Graminho s/nº, na cidade de Lajeado do Bugre/RS., inscrita no CNPJ/MF sob nº 92.410.448/0001-00, representada pelo Prefeito Municipal, o Sr. </w:t>
      </w:r>
      <w:r>
        <w:rPr>
          <w:rFonts w:ascii="Arial" w:eastAsia="Arial" w:hAnsi="Arial" w:cs="Arial"/>
          <w:b/>
          <w:color w:val="000000"/>
        </w:rPr>
        <w:t>RONALDO MACHADO DA SILVA</w:t>
      </w:r>
      <w:r>
        <w:rPr>
          <w:rFonts w:ascii="Arial" w:hAnsi="Arial" w:cs="Arial"/>
        </w:rPr>
        <w:t xml:space="preserve">, brasileiro, casado, residente e domiciliado na Linha Cordilheira </w:t>
      </w:r>
      <w:proofErr w:type="gramStart"/>
      <w:r>
        <w:rPr>
          <w:rFonts w:ascii="Arial" w:hAnsi="Arial" w:cs="Arial"/>
        </w:rPr>
        <w:t>s/n.</w:t>
      </w:r>
      <w:proofErr w:type="gramEnd"/>
      <w:r>
        <w:rPr>
          <w:rFonts w:ascii="Arial" w:hAnsi="Arial" w:cs="Arial"/>
        </w:rPr>
        <w:t>º, nesta cidade de Lajeado do Bugre RS</w:t>
      </w:r>
      <w:r>
        <w:rPr>
          <w:rFonts w:ascii="Arial" w:hAnsi="Arial" w:cs="Arial"/>
          <w:sz w:val="23"/>
          <w:szCs w:val="23"/>
        </w:rPr>
        <w:t xml:space="preserve">, ora denominado simplesmente </w:t>
      </w:r>
      <w:r>
        <w:rPr>
          <w:rFonts w:ascii="Arial" w:hAnsi="Arial" w:cs="Arial"/>
          <w:b/>
          <w:i/>
          <w:sz w:val="23"/>
          <w:szCs w:val="23"/>
        </w:rPr>
        <w:t xml:space="preserve">CONTRATANTE </w:t>
      </w:r>
      <w:r>
        <w:rPr>
          <w:rFonts w:ascii="Arial" w:hAnsi="Arial" w:cs="Arial"/>
          <w:sz w:val="23"/>
          <w:szCs w:val="23"/>
        </w:rPr>
        <w:t>e, por outro lado a empresa</w:t>
      </w:r>
      <w:r w:rsidR="00D00D22">
        <w:rPr>
          <w:rFonts w:ascii="Arial" w:hAnsi="Arial" w:cs="Arial"/>
          <w:b/>
          <w:sz w:val="23"/>
          <w:szCs w:val="23"/>
        </w:rPr>
        <w:t xml:space="preserve"> SERVIOESTE SOLUÇÕES AMBIENTAIS LTDA, CNPJ: 03.392.348/0001-60</w:t>
      </w:r>
      <w:r>
        <w:rPr>
          <w:rFonts w:ascii="Arial" w:hAnsi="Arial" w:cs="Arial"/>
          <w:sz w:val="23"/>
          <w:szCs w:val="23"/>
        </w:rPr>
        <w:t>, pessoa jurídica de direito privado,</w:t>
      </w:r>
      <w:r>
        <w:rPr>
          <w:rFonts w:ascii="Arial" w:hAnsi="Arial" w:cs="Arial"/>
          <w:b/>
          <w:sz w:val="23"/>
          <w:szCs w:val="23"/>
        </w:rPr>
        <w:t xml:space="preserve"> </w:t>
      </w:r>
      <w:r w:rsidR="00D00D22">
        <w:rPr>
          <w:rFonts w:ascii="Arial" w:hAnsi="Arial" w:cs="Arial"/>
          <w:sz w:val="23"/>
          <w:szCs w:val="23"/>
        </w:rPr>
        <w:t>com sede na cidade de CHAPECÓ</w:t>
      </w:r>
      <w:r>
        <w:rPr>
          <w:rFonts w:ascii="Arial" w:hAnsi="Arial" w:cs="Arial"/>
          <w:b/>
          <w:sz w:val="23"/>
          <w:szCs w:val="23"/>
        </w:rPr>
        <w:t xml:space="preserve"> </w:t>
      </w:r>
      <w:r w:rsidR="00D00D22">
        <w:rPr>
          <w:rFonts w:ascii="Arial" w:hAnsi="Arial" w:cs="Arial"/>
          <w:sz w:val="23"/>
          <w:szCs w:val="23"/>
        </w:rPr>
        <w:t>- SC, Linha São Roque, Bairro, Interior</w:t>
      </w:r>
      <w:r>
        <w:rPr>
          <w:rFonts w:ascii="Arial" w:hAnsi="Arial" w:cs="Arial"/>
          <w:sz w:val="23"/>
          <w:szCs w:val="23"/>
        </w:rPr>
        <w:t xml:space="preserve">, inscrita no CNPJ/MF sob </w:t>
      </w:r>
      <w:r w:rsidR="00D00D22">
        <w:rPr>
          <w:rFonts w:ascii="Arial" w:hAnsi="Arial" w:cs="Arial"/>
          <w:b/>
          <w:sz w:val="23"/>
          <w:szCs w:val="23"/>
        </w:rPr>
        <w:t>03.392.348/0001-60</w:t>
      </w:r>
      <w:r>
        <w:rPr>
          <w:rFonts w:ascii="Arial" w:hAnsi="Arial" w:cs="Arial"/>
          <w:sz w:val="23"/>
          <w:szCs w:val="23"/>
        </w:rPr>
        <w:t>,</w:t>
      </w:r>
      <w:r>
        <w:rPr>
          <w:rFonts w:ascii="Arial" w:hAnsi="Arial" w:cs="Arial"/>
          <w:b/>
          <w:sz w:val="23"/>
          <w:szCs w:val="23"/>
        </w:rPr>
        <w:t xml:space="preserve"> </w:t>
      </w:r>
      <w:r>
        <w:rPr>
          <w:rFonts w:ascii="Arial" w:hAnsi="Arial" w:cs="Arial"/>
          <w:sz w:val="23"/>
          <w:szCs w:val="23"/>
        </w:rPr>
        <w:t xml:space="preserve">e de ora em diante denominada </w:t>
      </w:r>
      <w:r>
        <w:rPr>
          <w:rFonts w:ascii="Arial" w:hAnsi="Arial" w:cs="Arial"/>
          <w:b/>
          <w:i/>
          <w:sz w:val="23"/>
          <w:szCs w:val="23"/>
        </w:rPr>
        <w:t>CONTRATADA</w:t>
      </w:r>
      <w:r>
        <w:rPr>
          <w:rFonts w:ascii="Arial" w:hAnsi="Arial" w:cs="Arial"/>
          <w:sz w:val="23"/>
          <w:szCs w:val="23"/>
        </w:rPr>
        <w:t xml:space="preserve">, </w:t>
      </w:r>
      <w:r>
        <w:rPr>
          <w:rFonts w:ascii="Arial" w:hAnsi="Arial" w:cs="Arial"/>
          <w:b/>
          <w:sz w:val="23"/>
          <w:szCs w:val="23"/>
        </w:rPr>
        <w:t xml:space="preserve"> </w:t>
      </w:r>
      <w:r>
        <w:rPr>
          <w:rFonts w:ascii="Arial" w:hAnsi="Arial" w:cs="Arial"/>
          <w:sz w:val="23"/>
          <w:szCs w:val="23"/>
        </w:rPr>
        <w:t xml:space="preserve">neste ato representada por </w:t>
      </w:r>
      <w:r w:rsidR="00866B1F">
        <w:rPr>
          <w:rFonts w:ascii="Arial" w:hAnsi="Arial" w:cs="Arial"/>
          <w:b/>
          <w:sz w:val="23"/>
          <w:szCs w:val="23"/>
        </w:rPr>
        <w:t xml:space="preserve">ato pelo Sr. Cristian Paulo Kehl </w:t>
      </w:r>
      <w:proofErr w:type="spellStart"/>
      <w:r w:rsidR="00866B1F">
        <w:rPr>
          <w:rFonts w:ascii="Arial" w:hAnsi="Arial" w:cs="Arial"/>
          <w:b/>
          <w:sz w:val="23"/>
          <w:szCs w:val="23"/>
        </w:rPr>
        <w:t>Balbinot</w:t>
      </w:r>
      <w:proofErr w:type="spellEnd"/>
      <w:r w:rsidR="00866B1F">
        <w:rPr>
          <w:rFonts w:ascii="Arial" w:hAnsi="Arial" w:cs="Arial"/>
          <w:b/>
          <w:sz w:val="23"/>
          <w:szCs w:val="23"/>
        </w:rPr>
        <w:t xml:space="preserve">, portador do CPF nº 010.580.759-18, e RG sob n° 4077236, brasileiro, em união estável, empresário, nascido em 10/04/1990, residente domiciliado na Avenida Nereu Ramos, nº 138-E, Apto 803. Edif. </w:t>
      </w:r>
      <w:proofErr w:type="spellStart"/>
      <w:r w:rsidR="00866B1F">
        <w:rPr>
          <w:rFonts w:ascii="Arial" w:hAnsi="Arial" w:cs="Arial"/>
          <w:b/>
          <w:sz w:val="23"/>
          <w:szCs w:val="23"/>
        </w:rPr>
        <w:t>Trevisol</w:t>
      </w:r>
      <w:proofErr w:type="spellEnd"/>
      <w:r w:rsidR="00866B1F">
        <w:rPr>
          <w:rFonts w:ascii="Arial" w:hAnsi="Arial" w:cs="Arial"/>
          <w:b/>
          <w:sz w:val="23"/>
          <w:szCs w:val="23"/>
        </w:rPr>
        <w:t>, Centro, Chapecó- SC</w:t>
      </w:r>
      <w:proofErr w:type="gramStart"/>
      <w:r w:rsidR="00866B1F">
        <w:rPr>
          <w:rFonts w:ascii="Arial" w:hAnsi="Arial" w:cs="Arial"/>
          <w:b/>
          <w:sz w:val="23"/>
          <w:szCs w:val="23"/>
        </w:rPr>
        <w:t>,</w:t>
      </w:r>
      <w:r>
        <w:rPr>
          <w:rFonts w:ascii="Arial" w:hAnsi="Arial" w:cs="Arial"/>
          <w:sz w:val="23"/>
          <w:szCs w:val="23"/>
        </w:rPr>
        <w:t xml:space="preserve"> têm</w:t>
      </w:r>
      <w:proofErr w:type="gramEnd"/>
      <w:r>
        <w:rPr>
          <w:rFonts w:ascii="Arial" w:hAnsi="Arial" w:cs="Arial"/>
          <w:sz w:val="23"/>
          <w:szCs w:val="23"/>
        </w:rPr>
        <w:t xml:space="preserve"> entre si, certo e ajustado, firmam o presente contrato mediante ao Processo Licitatório </w:t>
      </w:r>
      <w:r w:rsidR="006F317B">
        <w:rPr>
          <w:rFonts w:ascii="Arial" w:hAnsi="Arial" w:cs="Arial"/>
          <w:sz w:val="23"/>
          <w:szCs w:val="23"/>
        </w:rPr>
        <w:t>n° 49/2024, Inexigibilidade n° 04</w:t>
      </w:r>
      <w:r>
        <w:rPr>
          <w:rFonts w:ascii="Arial" w:hAnsi="Arial" w:cs="Arial"/>
          <w:sz w:val="23"/>
          <w:szCs w:val="23"/>
        </w:rPr>
        <w:t>/2024, as seguintes cláusulas e condições:</w:t>
      </w:r>
      <w:r w:rsidR="00D00D22">
        <w:rPr>
          <w:rFonts w:ascii="Arial" w:hAnsi="Arial" w:cs="Arial"/>
          <w:sz w:val="23"/>
          <w:szCs w:val="23"/>
        </w:rPr>
        <w:t xml:space="preserve"> </w:t>
      </w:r>
    </w:p>
    <w:p w:rsidR="006F317B" w:rsidRPr="006F317B" w:rsidRDefault="006F317B" w:rsidP="006F317B">
      <w:pPr>
        <w:ind w:firstLine="708"/>
        <w:jc w:val="both"/>
        <w:rPr>
          <w:rFonts w:ascii="Arial" w:hAnsi="Arial" w:cs="Arial"/>
          <w:sz w:val="23"/>
          <w:szCs w:val="23"/>
        </w:rPr>
      </w:pPr>
    </w:p>
    <w:p w:rsidR="006F317B" w:rsidRDefault="006F317B" w:rsidP="006F317B">
      <w:pPr>
        <w:numPr>
          <w:ilvl w:val="0"/>
          <w:numId w:val="1"/>
        </w:numPr>
        <w:shd w:val="clear" w:color="auto" w:fill="E6E6E6"/>
        <w:tabs>
          <w:tab w:val="left" w:pos="142"/>
        </w:tabs>
        <w:spacing w:after="143" w:line="276" w:lineRule="auto"/>
        <w:ind w:left="284" w:hanging="299"/>
      </w:pPr>
      <w:r>
        <w:rPr>
          <w:b/>
        </w:rPr>
        <w:t xml:space="preserve">CLÁUSULA PRIMEIRA – </w:t>
      </w:r>
      <w:r w:rsidRPr="0077037B">
        <w:rPr>
          <w:b/>
        </w:rPr>
        <w:t>DAS</w:t>
      </w:r>
      <w:r>
        <w:rPr>
          <w:b/>
        </w:rPr>
        <w:t xml:space="preserve"> CONDIÇÕES GERAIS DA CONTRATAÇÃO</w:t>
      </w:r>
    </w:p>
    <w:tbl>
      <w:tblPr>
        <w:tblStyle w:val="TableGrid"/>
        <w:tblW w:w="10223" w:type="dxa"/>
        <w:tblInd w:w="-839" w:type="dxa"/>
        <w:tblCellMar>
          <w:left w:w="102" w:type="dxa"/>
          <w:right w:w="103" w:type="dxa"/>
        </w:tblCellMar>
        <w:tblLook w:val="04A0" w:firstRow="1" w:lastRow="0" w:firstColumn="1" w:lastColumn="0" w:noHBand="0" w:noVBand="1"/>
      </w:tblPr>
      <w:tblGrid>
        <w:gridCol w:w="876"/>
        <w:gridCol w:w="656"/>
        <w:gridCol w:w="2318"/>
        <w:gridCol w:w="1423"/>
        <w:gridCol w:w="1540"/>
        <w:gridCol w:w="1446"/>
        <w:gridCol w:w="1187"/>
        <w:gridCol w:w="777"/>
      </w:tblGrid>
      <w:tr w:rsidR="006F317B" w:rsidTr="00866B1F">
        <w:trPr>
          <w:gridBefore w:val="1"/>
          <w:gridAfter w:val="1"/>
          <w:wBefore w:w="876" w:type="dxa"/>
          <w:wAfter w:w="777" w:type="dxa"/>
          <w:trHeight w:val="744"/>
        </w:trPr>
        <w:tc>
          <w:tcPr>
            <w:tcW w:w="656" w:type="dxa"/>
            <w:tcBorders>
              <w:top w:val="nil"/>
              <w:left w:val="nil"/>
              <w:bottom w:val="nil"/>
              <w:right w:val="nil"/>
            </w:tcBorders>
            <w:shd w:val="clear" w:color="auto" w:fill="F0F0F0"/>
            <w:vAlign w:val="center"/>
          </w:tcPr>
          <w:p w:rsidR="006F317B" w:rsidRDefault="006F317B" w:rsidP="00866B1F">
            <w:pPr>
              <w:tabs>
                <w:tab w:val="left" w:pos="142"/>
              </w:tabs>
              <w:spacing w:after="0" w:line="240" w:lineRule="auto"/>
              <w:ind w:hanging="17"/>
            </w:pPr>
            <w:r>
              <w:rPr>
                <w:sz w:val="20"/>
              </w:rPr>
              <w:t xml:space="preserve"> </w:t>
            </w:r>
            <w:r>
              <w:rPr>
                <w:b/>
              </w:rPr>
              <w:t>ITEM</w:t>
            </w:r>
          </w:p>
        </w:tc>
        <w:tc>
          <w:tcPr>
            <w:tcW w:w="2318" w:type="dxa"/>
            <w:tcBorders>
              <w:top w:val="nil"/>
              <w:left w:val="nil"/>
              <w:bottom w:val="nil"/>
              <w:right w:val="nil"/>
            </w:tcBorders>
            <w:shd w:val="clear" w:color="auto" w:fill="F0F0F0"/>
            <w:vAlign w:val="center"/>
          </w:tcPr>
          <w:p w:rsidR="006F317B" w:rsidRDefault="006F317B" w:rsidP="00866B1F">
            <w:pPr>
              <w:tabs>
                <w:tab w:val="left" w:pos="142"/>
              </w:tabs>
              <w:spacing w:after="0" w:line="240" w:lineRule="auto"/>
              <w:ind w:right="4" w:hanging="17"/>
              <w:jc w:val="center"/>
            </w:pPr>
            <w:r>
              <w:rPr>
                <w:b/>
              </w:rPr>
              <w:t>ESPECIFICAÇÃO</w:t>
            </w:r>
          </w:p>
        </w:tc>
        <w:tc>
          <w:tcPr>
            <w:tcW w:w="1423" w:type="dxa"/>
            <w:tcBorders>
              <w:top w:val="nil"/>
              <w:left w:val="nil"/>
              <w:bottom w:val="nil"/>
              <w:right w:val="nil"/>
            </w:tcBorders>
            <w:shd w:val="clear" w:color="auto" w:fill="F0F0F0"/>
            <w:vAlign w:val="center"/>
          </w:tcPr>
          <w:p w:rsidR="006F317B" w:rsidRDefault="006F317B" w:rsidP="00866B1F">
            <w:pPr>
              <w:tabs>
                <w:tab w:val="left" w:pos="142"/>
              </w:tabs>
              <w:spacing w:after="0" w:line="240" w:lineRule="auto"/>
              <w:ind w:hanging="17"/>
              <w:jc w:val="center"/>
            </w:pPr>
            <w:r>
              <w:rPr>
                <w:b/>
              </w:rPr>
              <w:t>UNIDADE DE MEDIDA</w:t>
            </w:r>
          </w:p>
        </w:tc>
        <w:tc>
          <w:tcPr>
            <w:tcW w:w="1540" w:type="dxa"/>
            <w:tcBorders>
              <w:top w:val="nil"/>
              <w:left w:val="nil"/>
              <w:bottom w:val="nil"/>
              <w:right w:val="nil"/>
            </w:tcBorders>
            <w:shd w:val="clear" w:color="auto" w:fill="F0F0F0"/>
            <w:vAlign w:val="center"/>
          </w:tcPr>
          <w:p w:rsidR="006F317B" w:rsidRDefault="006F317B" w:rsidP="00866B1F">
            <w:pPr>
              <w:tabs>
                <w:tab w:val="left" w:pos="142"/>
              </w:tabs>
              <w:spacing w:after="0" w:line="240" w:lineRule="auto"/>
              <w:ind w:hanging="17"/>
            </w:pPr>
            <w:r>
              <w:rPr>
                <w:b/>
              </w:rPr>
              <w:t>QUANTIDADE</w:t>
            </w:r>
          </w:p>
        </w:tc>
        <w:tc>
          <w:tcPr>
            <w:tcW w:w="1446" w:type="dxa"/>
            <w:tcBorders>
              <w:top w:val="nil"/>
              <w:left w:val="nil"/>
              <w:bottom w:val="nil"/>
              <w:right w:val="nil"/>
            </w:tcBorders>
            <w:shd w:val="clear" w:color="auto" w:fill="F0F0F0"/>
            <w:vAlign w:val="center"/>
          </w:tcPr>
          <w:p w:rsidR="006F317B" w:rsidRDefault="006F317B" w:rsidP="00866B1F">
            <w:pPr>
              <w:tabs>
                <w:tab w:val="left" w:pos="142"/>
              </w:tabs>
              <w:spacing w:after="0" w:line="240" w:lineRule="auto"/>
              <w:ind w:hanging="17"/>
              <w:jc w:val="center"/>
            </w:pPr>
            <w:r>
              <w:rPr>
                <w:b/>
              </w:rPr>
              <w:t>VALOR UNITÁRIO</w:t>
            </w:r>
          </w:p>
        </w:tc>
        <w:tc>
          <w:tcPr>
            <w:tcW w:w="1187" w:type="dxa"/>
            <w:tcBorders>
              <w:top w:val="nil"/>
              <w:left w:val="nil"/>
              <w:bottom w:val="nil"/>
              <w:right w:val="nil"/>
            </w:tcBorders>
            <w:shd w:val="clear" w:color="auto" w:fill="F0F0F0"/>
            <w:vAlign w:val="center"/>
          </w:tcPr>
          <w:p w:rsidR="006F317B" w:rsidRDefault="006F317B" w:rsidP="00866B1F">
            <w:pPr>
              <w:tabs>
                <w:tab w:val="left" w:pos="142"/>
              </w:tabs>
              <w:spacing w:after="0" w:line="240" w:lineRule="auto"/>
              <w:ind w:hanging="17"/>
              <w:jc w:val="center"/>
            </w:pPr>
            <w:r>
              <w:rPr>
                <w:b/>
              </w:rPr>
              <w:t>VALOR TOTAL</w:t>
            </w:r>
          </w:p>
        </w:tc>
      </w:tr>
      <w:tr w:rsidR="006F317B" w:rsidTr="00866B1F">
        <w:trPr>
          <w:trHeight w:val="1392"/>
        </w:trPr>
        <w:tc>
          <w:tcPr>
            <w:tcW w:w="1532" w:type="dxa"/>
            <w:gridSpan w:val="2"/>
            <w:tcBorders>
              <w:top w:val="nil"/>
              <w:left w:val="nil"/>
              <w:bottom w:val="nil"/>
              <w:right w:val="nil"/>
            </w:tcBorders>
            <w:shd w:val="clear" w:color="auto" w:fill="FFFFFF"/>
            <w:vAlign w:val="center"/>
          </w:tcPr>
          <w:p w:rsidR="006F317B" w:rsidRDefault="006F317B" w:rsidP="00866B1F">
            <w:pPr>
              <w:tabs>
                <w:tab w:val="left" w:pos="142"/>
              </w:tabs>
              <w:spacing w:after="0" w:line="240" w:lineRule="auto"/>
              <w:ind w:hanging="17"/>
              <w:jc w:val="center"/>
            </w:pPr>
            <w:proofErr w:type="gramStart"/>
            <w:r>
              <w:rPr>
                <w:b/>
              </w:rPr>
              <w:t>1</w:t>
            </w:r>
            <w:proofErr w:type="gramEnd"/>
          </w:p>
        </w:tc>
        <w:tc>
          <w:tcPr>
            <w:tcW w:w="2318" w:type="dxa"/>
            <w:tcBorders>
              <w:top w:val="nil"/>
              <w:left w:val="nil"/>
              <w:bottom w:val="nil"/>
              <w:right w:val="nil"/>
            </w:tcBorders>
            <w:shd w:val="clear" w:color="auto" w:fill="FFFFFF"/>
            <w:vAlign w:val="center"/>
          </w:tcPr>
          <w:p w:rsidR="006F317B" w:rsidRDefault="006F317B" w:rsidP="00866B1F">
            <w:pPr>
              <w:tabs>
                <w:tab w:val="left" w:pos="142"/>
              </w:tabs>
              <w:spacing w:after="0" w:line="240" w:lineRule="auto"/>
              <w:ind w:hanging="17"/>
              <w:jc w:val="center"/>
            </w:pPr>
            <w:r>
              <w:t>Contratação de Empresa para Coleta e Transporte de Resíduos</w:t>
            </w:r>
          </w:p>
        </w:tc>
        <w:tc>
          <w:tcPr>
            <w:tcW w:w="1423" w:type="dxa"/>
            <w:tcBorders>
              <w:top w:val="nil"/>
              <w:left w:val="nil"/>
              <w:bottom w:val="nil"/>
              <w:right w:val="nil"/>
            </w:tcBorders>
            <w:shd w:val="clear" w:color="auto" w:fill="FFFFFF"/>
            <w:vAlign w:val="center"/>
          </w:tcPr>
          <w:p w:rsidR="006F317B" w:rsidRDefault="006F317B" w:rsidP="00866B1F">
            <w:pPr>
              <w:tabs>
                <w:tab w:val="left" w:pos="142"/>
              </w:tabs>
              <w:spacing w:after="0" w:line="240" w:lineRule="auto"/>
              <w:ind w:right="8" w:hanging="17"/>
              <w:jc w:val="center"/>
            </w:pPr>
            <w:r>
              <w:t>KG</w:t>
            </w:r>
          </w:p>
        </w:tc>
        <w:tc>
          <w:tcPr>
            <w:tcW w:w="1540" w:type="dxa"/>
            <w:tcBorders>
              <w:top w:val="nil"/>
              <w:left w:val="nil"/>
              <w:bottom w:val="nil"/>
              <w:right w:val="nil"/>
            </w:tcBorders>
            <w:shd w:val="clear" w:color="auto" w:fill="FFFFFF"/>
            <w:vAlign w:val="center"/>
          </w:tcPr>
          <w:p w:rsidR="006F317B" w:rsidRDefault="006F317B" w:rsidP="00866B1F">
            <w:pPr>
              <w:tabs>
                <w:tab w:val="left" w:pos="142"/>
              </w:tabs>
              <w:spacing w:after="0" w:line="240" w:lineRule="auto"/>
              <w:ind w:right="2" w:hanging="17"/>
              <w:jc w:val="center"/>
            </w:pPr>
            <w:r>
              <w:t>700</w:t>
            </w:r>
          </w:p>
        </w:tc>
        <w:tc>
          <w:tcPr>
            <w:tcW w:w="1446" w:type="dxa"/>
            <w:tcBorders>
              <w:top w:val="nil"/>
              <w:left w:val="nil"/>
              <w:bottom w:val="nil"/>
              <w:right w:val="nil"/>
            </w:tcBorders>
            <w:shd w:val="clear" w:color="auto" w:fill="FFFFFF"/>
            <w:vAlign w:val="center"/>
          </w:tcPr>
          <w:p w:rsidR="006F317B" w:rsidRDefault="006F317B" w:rsidP="00866B1F">
            <w:pPr>
              <w:tabs>
                <w:tab w:val="left" w:pos="142"/>
              </w:tabs>
              <w:spacing w:after="0" w:line="240" w:lineRule="auto"/>
              <w:ind w:right="2" w:hanging="17"/>
              <w:jc w:val="center"/>
            </w:pPr>
            <w:r>
              <w:t>R$ 13,335</w:t>
            </w:r>
          </w:p>
          <w:p w:rsidR="006F317B" w:rsidRDefault="006F317B" w:rsidP="00866B1F">
            <w:pPr>
              <w:tabs>
                <w:tab w:val="left" w:pos="142"/>
              </w:tabs>
              <w:spacing w:after="0" w:line="240" w:lineRule="auto"/>
              <w:ind w:right="2" w:hanging="17"/>
              <w:jc w:val="center"/>
              <w:rPr>
                <w:sz w:val="20"/>
                <w:szCs w:val="18"/>
              </w:rPr>
            </w:pPr>
            <w:r w:rsidRPr="00B40332">
              <w:rPr>
                <w:sz w:val="20"/>
                <w:szCs w:val="18"/>
              </w:rPr>
              <w:t xml:space="preserve">(Caso ultrapasse 100 KG mensais, será cobrado o valor </w:t>
            </w:r>
            <w:proofErr w:type="gramStart"/>
            <w:r w:rsidRPr="00B40332">
              <w:rPr>
                <w:sz w:val="20"/>
                <w:szCs w:val="18"/>
              </w:rPr>
              <w:t>de</w:t>
            </w:r>
            <w:proofErr w:type="gramEnd"/>
          </w:p>
          <w:p w:rsidR="006F317B" w:rsidRDefault="006F317B" w:rsidP="00866B1F">
            <w:pPr>
              <w:tabs>
                <w:tab w:val="left" w:pos="142"/>
              </w:tabs>
              <w:spacing w:after="0" w:line="240" w:lineRule="auto"/>
              <w:ind w:right="2" w:hanging="17"/>
              <w:jc w:val="center"/>
            </w:pPr>
            <w:r w:rsidRPr="00B40332">
              <w:rPr>
                <w:sz w:val="20"/>
                <w:szCs w:val="18"/>
              </w:rPr>
              <w:t>R$ 12,70 por KG</w:t>
            </w:r>
            <w:r>
              <w:rPr>
                <w:sz w:val="20"/>
                <w:szCs w:val="18"/>
              </w:rPr>
              <w:t xml:space="preserve"> </w:t>
            </w:r>
            <w:r w:rsidR="00920632">
              <w:rPr>
                <w:sz w:val="20"/>
                <w:szCs w:val="18"/>
              </w:rPr>
              <w:t>(excedido</w:t>
            </w:r>
            <w:r w:rsidRPr="00B40332">
              <w:rPr>
                <w:sz w:val="20"/>
                <w:szCs w:val="18"/>
              </w:rPr>
              <w:t>)</w:t>
            </w:r>
          </w:p>
        </w:tc>
        <w:tc>
          <w:tcPr>
            <w:tcW w:w="1964" w:type="dxa"/>
            <w:gridSpan w:val="2"/>
            <w:tcBorders>
              <w:top w:val="nil"/>
              <w:left w:val="nil"/>
              <w:bottom w:val="nil"/>
              <w:right w:val="nil"/>
            </w:tcBorders>
            <w:shd w:val="clear" w:color="auto" w:fill="FFFFFF"/>
            <w:vAlign w:val="center"/>
          </w:tcPr>
          <w:p w:rsidR="006F317B" w:rsidRDefault="006F317B" w:rsidP="00866B1F">
            <w:pPr>
              <w:tabs>
                <w:tab w:val="left" w:pos="142"/>
              </w:tabs>
              <w:spacing w:after="0" w:line="240" w:lineRule="auto"/>
              <w:ind w:right="674" w:hanging="17"/>
              <w:jc w:val="center"/>
            </w:pPr>
            <w:r>
              <w:t>R$ 9.334,50</w:t>
            </w:r>
          </w:p>
        </w:tc>
      </w:tr>
    </w:tbl>
    <w:p w:rsidR="006F317B" w:rsidRDefault="006F317B" w:rsidP="00920632">
      <w:pPr>
        <w:tabs>
          <w:tab w:val="left" w:pos="142"/>
        </w:tabs>
        <w:spacing w:after="52" w:line="276" w:lineRule="auto"/>
        <w:ind w:right="10678" w:hanging="15"/>
        <w:jc w:val="both"/>
      </w:pPr>
      <w:r>
        <w:rPr>
          <w:sz w:val="20"/>
        </w:rPr>
        <w:t xml:space="preserve">  </w:t>
      </w:r>
    </w:p>
    <w:p w:rsidR="006F317B" w:rsidRDefault="006F317B" w:rsidP="00920632">
      <w:pPr>
        <w:numPr>
          <w:ilvl w:val="1"/>
          <w:numId w:val="1"/>
        </w:numPr>
        <w:tabs>
          <w:tab w:val="left" w:pos="426"/>
        </w:tabs>
        <w:spacing w:after="122" w:line="276" w:lineRule="auto"/>
        <w:ind w:left="0" w:right="193" w:hanging="15"/>
        <w:jc w:val="both"/>
      </w:pPr>
      <w:r>
        <w:t>O prazo de vigência da contratação é será de 07 (sete) meses, contados da assinatura do contrato, podendo ser renovado de acordo com a Lei Nº 14.133/2021.</w:t>
      </w:r>
    </w:p>
    <w:p w:rsidR="006F317B" w:rsidRDefault="006F317B" w:rsidP="00920632">
      <w:pPr>
        <w:numPr>
          <w:ilvl w:val="1"/>
          <w:numId w:val="1"/>
        </w:numPr>
        <w:tabs>
          <w:tab w:val="left" w:pos="284"/>
          <w:tab w:val="left" w:pos="426"/>
        </w:tabs>
        <w:spacing w:after="122" w:line="276" w:lineRule="auto"/>
        <w:ind w:left="0" w:right="193" w:hanging="15"/>
        <w:jc w:val="both"/>
      </w:pPr>
      <w:r>
        <w:lastRenderedPageBreak/>
        <w:t>O custo estimado total da contratação é de R$ 9.334,50 (nove mil trezentos e trinta e quatro reais e cinquenta centavos), conforme custos unitários apostos na tabela acima.</w:t>
      </w:r>
    </w:p>
    <w:p w:rsidR="006F317B" w:rsidRPr="00920632" w:rsidRDefault="006F317B" w:rsidP="00920632">
      <w:pPr>
        <w:tabs>
          <w:tab w:val="left" w:pos="284"/>
        </w:tabs>
        <w:spacing w:after="143" w:line="240" w:lineRule="auto"/>
        <w:ind w:hanging="15"/>
        <w:jc w:val="both"/>
        <w:rPr>
          <w:sz w:val="16"/>
          <w:szCs w:val="16"/>
        </w:rPr>
      </w:pPr>
      <w:r>
        <w:t xml:space="preserve"> </w:t>
      </w:r>
    </w:p>
    <w:p w:rsidR="006F317B" w:rsidRDefault="006F317B" w:rsidP="00920632">
      <w:pPr>
        <w:pStyle w:val="Ttulo1"/>
        <w:shd w:val="clear" w:color="auto" w:fill="EEECE1" w:themeFill="background2"/>
        <w:tabs>
          <w:tab w:val="left" w:pos="284"/>
          <w:tab w:val="right" w:pos="10724"/>
        </w:tabs>
        <w:spacing w:after="44" w:line="276" w:lineRule="auto"/>
        <w:ind w:left="0" w:right="0" w:hanging="15"/>
        <w:jc w:val="both"/>
      </w:pPr>
      <w:r>
        <w:t>2.</w:t>
      </w:r>
      <w:r>
        <w:tab/>
        <w:t xml:space="preserve">CLÁUSULA SEGUNDA – DA FUNDAMENTAÇÃO E DESCRIÇÃO DA NECESSIDADE DA </w:t>
      </w:r>
      <w:proofErr w:type="gramStart"/>
      <w:r>
        <w:t>CONTRATAÇÃO</w:t>
      </w:r>
      <w:proofErr w:type="gramEnd"/>
    </w:p>
    <w:p w:rsidR="006F317B" w:rsidRDefault="006F317B" w:rsidP="00920632">
      <w:pPr>
        <w:tabs>
          <w:tab w:val="left" w:pos="284"/>
        </w:tabs>
        <w:spacing w:after="72" w:line="276" w:lineRule="auto"/>
        <w:ind w:right="193" w:hanging="15"/>
        <w:jc w:val="both"/>
      </w:pPr>
      <w:r>
        <w:t xml:space="preserve">2.1. O Grupo </w:t>
      </w:r>
      <w:proofErr w:type="spellStart"/>
      <w:r>
        <w:t>Servioeste</w:t>
      </w:r>
      <w:proofErr w:type="spellEnd"/>
      <w:r>
        <w:t xml:space="preserve"> é Referência Nacional na prestação dos serviços de Coleta, Transporte, Tratamento e Destinação Final dos Resíduos de Serviços de Saúde.</w:t>
      </w:r>
    </w:p>
    <w:p w:rsidR="006F317B" w:rsidRDefault="006F317B" w:rsidP="00920632">
      <w:pPr>
        <w:tabs>
          <w:tab w:val="left" w:pos="284"/>
        </w:tabs>
        <w:spacing w:after="72" w:line="276" w:lineRule="auto"/>
        <w:ind w:right="193" w:hanging="15"/>
        <w:jc w:val="both"/>
      </w:pPr>
      <w:r>
        <w:t xml:space="preserve">2.2. Desde 1999 a empresa trabalha para aperfeiçoar os serviços com inovação e tecnologia, buscando soluções práticas e inteligentes para melhorar a saúde pública, qualidade de vida e o bem </w:t>
      </w:r>
      <w:proofErr w:type="gramStart"/>
      <w:r>
        <w:t>estar</w:t>
      </w:r>
      <w:proofErr w:type="gramEnd"/>
      <w:r>
        <w:t xml:space="preserve"> dos nossos clientes e colaboradores, além de contribuir com a preservação do Meio Ambiente.</w:t>
      </w:r>
    </w:p>
    <w:p w:rsidR="006F317B" w:rsidRDefault="006F317B" w:rsidP="00920632">
      <w:pPr>
        <w:tabs>
          <w:tab w:val="left" w:pos="284"/>
        </w:tabs>
        <w:spacing w:after="72" w:line="276" w:lineRule="auto"/>
        <w:ind w:right="193" w:hanging="15"/>
        <w:jc w:val="both"/>
      </w:pPr>
      <w:r>
        <w:t>2.3. Atua nos Estados de Santa Catarina, Rio Grande do Sul, Paraná, São Paulo, Rio de Janeiro e Minas Gerais, com projetos de expansão nacional e internacional.</w:t>
      </w:r>
    </w:p>
    <w:p w:rsidR="006F317B" w:rsidRDefault="006F317B" w:rsidP="00920632">
      <w:pPr>
        <w:tabs>
          <w:tab w:val="left" w:pos="284"/>
        </w:tabs>
        <w:spacing w:after="72" w:line="276" w:lineRule="auto"/>
        <w:ind w:right="193" w:hanging="15"/>
        <w:jc w:val="both"/>
      </w:pPr>
      <w:r>
        <w:t>2.4. É uma empresa destaque nos serviços de:</w:t>
      </w:r>
    </w:p>
    <w:p w:rsidR="006F317B" w:rsidRDefault="006F317B" w:rsidP="00920632">
      <w:pPr>
        <w:tabs>
          <w:tab w:val="left" w:pos="284"/>
        </w:tabs>
        <w:spacing w:after="72" w:line="276" w:lineRule="auto"/>
        <w:ind w:right="193" w:hanging="15"/>
        <w:jc w:val="both"/>
      </w:pPr>
      <w:r>
        <w:t xml:space="preserve">2.4.1. Coleta, Transporte, Tratamento e Destinação Final de Resíduos de Saúde; </w:t>
      </w:r>
    </w:p>
    <w:p w:rsidR="006F317B" w:rsidRDefault="006F317B" w:rsidP="00920632">
      <w:pPr>
        <w:tabs>
          <w:tab w:val="left" w:pos="284"/>
        </w:tabs>
        <w:spacing w:after="72" w:line="276" w:lineRule="auto"/>
        <w:ind w:right="193" w:hanging="15"/>
        <w:jc w:val="both"/>
      </w:pPr>
      <w:r>
        <w:t xml:space="preserve">2.4.2. Elaboração de Plano de Gerenciamento de Resíduos; </w:t>
      </w:r>
    </w:p>
    <w:p w:rsidR="006F317B" w:rsidRDefault="006F317B" w:rsidP="00920632">
      <w:pPr>
        <w:tabs>
          <w:tab w:val="left" w:pos="284"/>
        </w:tabs>
        <w:spacing w:after="72" w:line="276" w:lineRule="auto"/>
        <w:ind w:right="193" w:hanging="15"/>
        <w:jc w:val="both"/>
      </w:pPr>
      <w:r>
        <w:t>2.4.3. Projetos e Licenciamentos Ambientais;</w:t>
      </w:r>
    </w:p>
    <w:p w:rsidR="006F317B" w:rsidRDefault="006F317B" w:rsidP="00920632">
      <w:pPr>
        <w:tabs>
          <w:tab w:val="left" w:pos="284"/>
        </w:tabs>
        <w:spacing w:after="72" w:line="276" w:lineRule="auto"/>
        <w:ind w:right="193" w:hanging="15"/>
        <w:jc w:val="both"/>
      </w:pPr>
      <w:r>
        <w:t>2.4.4. Treinamentos e Assessorias Ambientais;</w:t>
      </w:r>
    </w:p>
    <w:p w:rsidR="006F317B" w:rsidRDefault="006F317B" w:rsidP="00920632">
      <w:pPr>
        <w:tabs>
          <w:tab w:val="left" w:pos="284"/>
        </w:tabs>
        <w:spacing w:after="72" w:line="276" w:lineRule="auto"/>
        <w:ind w:right="193" w:hanging="15"/>
        <w:jc w:val="both"/>
      </w:pPr>
      <w:r>
        <w:t>2.4.5. Comercialização de uma linha completa de produtos para o correto acondicionamento dos resíduos de saúde.</w:t>
      </w:r>
    </w:p>
    <w:p w:rsidR="006F317B" w:rsidRDefault="006F317B" w:rsidP="00920632">
      <w:pPr>
        <w:tabs>
          <w:tab w:val="left" w:pos="284"/>
        </w:tabs>
        <w:spacing w:after="72" w:line="276" w:lineRule="auto"/>
        <w:ind w:right="193" w:hanging="15"/>
        <w:jc w:val="both"/>
      </w:pPr>
      <w:r>
        <w:t>2.4.6. Nossa equipe técnica é composta por Engenheiros Químicos, Sanitaristas, Ambientais, Advogados Ambientalistas, Biólogos, Técnicos e Gestores Ambientais.</w:t>
      </w:r>
    </w:p>
    <w:p w:rsidR="006F317B" w:rsidRDefault="006F317B" w:rsidP="00920632">
      <w:pPr>
        <w:tabs>
          <w:tab w:val="left" w:pos="284"/>
        </w:tabs>
        <w:spacing w:after="72" w:line="276" w:lineRule="auto"/>
        <w:ind w:right="193" w:hanging="15"/>
        <w:jc w:val="both"/>
      </w:pPr>
      <w:r>
        <w:t>2.5. Para maior segurança as coletas são informatizadas, os veículos possuem monitoramento 24h via satélite, além de seguro ambiental.</w:t>
      </w:r>
    </w:p>
    <w:p w:rsidR="006F317B" w:rsidRDefault="006F317B" w:rsidP="00920632">
      <w:pPr>
        <w:spacing w:after="240" w:line="276" w:lineRule="auto"/>
        <w:ind w:left="-5" w:right="193"/>
        <w:jc w:val="both"/>
      </w:pPr>
      <w:r>
        <w:t>2.6. De acordo com a Lei de Licitações, Lei nº 14.133/2021, a contratação de empresa para coleta e transporte de resíduos, se enquadra nas disposições do seu artigo 74, inciso I, conforme transcrição abaixo:</w:t>
      </w:r>
    </w:p>
    <w:p w:rsidR="006F317B" w:rsidRPr="00B40332" w:rsidRDefault="006F317B" w:rsidP="00920632">
      <w:pPr>
        <w:spacing w:after="0" w:line="240" w:lineRule="auto"/>
        <w:ind w:left="4796" w:right="86"/>
        <w:jc w:val="both"/>
        <w:rPr>
          <w:sz w:val="20"/>
          <w:szCs w:val="18"/>
        </w:rPr>
      </w:pPr>
      <w:r w:rsidRPr="00B40332">
        <w:rPr>
          <w:rFonts w:ascii="Times New Roman" w:eastAsia="Times New Roman" w:hAnsi="Times New Roman"/>
          <w:i/>
          <w:sz w:val="20"/>
          <w:szCs w:val="18"/>
        </w:rPr>
        <w:t>Art. 74. É inexigível a licitação quando houver</w:t>
      </w:r>
    </w:p>
    <w:p w:rsidR="006F317B" w:rsidRPr="00B40332" w:rsidRDefault="006F317B" w:rsidP="00920632">
      <w:pPr>
        <w:spacing w:after="0" w:line="240" w:lineRule="auto"/>
        <w:ind w:left="4796" w:right="86"/>
        <w:jc w:val="both"/>
        <w:rPr>
          <w:rFonts w:ascii="Times New Roman" w:eastAsia="Times New Roman" w:hAnsi="Times New Roman"/>
          <w:i/>
          <w:sz w:val="20"/>
          <w:szCs w:val="18"/>
        </w:rPr>
      </w:pPr>
      <w:proofErr w:type="gramStart"/>
      <w:r w:rsidRPr="00B40332">
        <w:rPr>
          <w:rFonts w:ascii="Times New Roman" w:eastAsia="Times New Roman" w:hAnsi="Times New Roman"/>
          <w:i/>
          <w:sz w:val="20"/>
          <w:szCs w:val="18"/>
        </w:rPr>
        <w:t>inviabilidade</w:t>
      </w:r>
      <w:proofErr w:type="gramEnd"/>
      <w:r w:rsidRPr="00B40332">
        <w:rPr>
          <w:rFonts w:ascii="Times New Roman" w:eastAsia="Times New Roman" w:hAnsi="Times New Roman"/>
          <w:i/>
          <w:sz w:val="20"/>
          <w:szCs w:val="18"/>
        </w:rPr>
        <w:t xml:space="preserve"> de competição, em especial: I - aquisição de materiais, de equipamentos ou de gêneros ou contratação de serviços que só possam ser fornecidos por produtor, empresa ou representante comercial exclusivos;</w:t>
      </w:r>
    </w:p>
    <w:p w:rsidR="006F317B" w:rsidRPr="00DD41C8" w:rsidRDefault="006F317B" w:rsidP="00920632">
      <w:pPr>
        <w:spacing w:after="0" w:line="240" w:lineRule="auto"/>
        <w:ind w:left="4820" w:right="782"/>
        <w:jc w:val="both"/>
        <w:rPr>
          <w:rFonts w:ascii="Times New Roman" w:hAnsi="Times New Roman"/>
          <w:i/>
          <w:iCs/>
        </w:rPr>
      </w:pPr>
    </w:p>
    <w:p w:rsidR="006F317B" w:rsidRDefault="006F317B" w:rsidP="00920632">
      <w:pPr>
        <w:spacing w:line="276" w:lineRule="auto"/>
        <w:ind w:left="-5" w:right="193"/>
        <w:jc w:val="both"/>
      </w:pPr>
      <w:r>
        <w:t>2.6.2. A contratação da referida empresa é de suma importância, tendo em vista a necessidade do município de garantir o básico a sua população.</w:t>
      </w:r>
    </w:p>
    <w:p w:rsidR="006F317B" w:rsidRDefault="006F317B" w:rsidP="00920632">
      <w:pPr>
        <w:tabs>
          <w:tab w:val="left" w:pos="284"/>
        </w:tabs>
        <w:spacing w:line="276" w:lineRule="auto"/>
        <w:ind w:left="-5" w:right="193"/>
        <w:jc w:val="both"/>
      </w:pPr>
      <w:r>
        <w:lastRenderedPageBreak/>
        <w:t>2.6.3. Ademais, cumpre asseverar que os preços praticados pela empresa são pertinentes e compatíveis com os preços de mercado, não sendo valores exuberantes, não ocasionando superfaturamento.</w:t>
      </w:r>
    </w:p>
    <w:p w:rsidR="006F317B" w:rsidRDefault="006F317B" w:rsidP="00920632">
      <w:pPr>
        <w:tabs>
          <w:tab w:val="left" w:pos="284"/>
        </w:tabs>
        <w:spacing w:line="276" w:lineRule="auto"/>
        <w:ind w:left="-5" w:right="193"/>
        <w:jc w:val="both"/>
      </w:pPr>
      <w:r>
        <w:t>2.7. Cabe destacar a escolha da empresa, principalmente levando em consideração a distância da mesma até o município, após rápida pesquisa na internet, verificou-se que as demais empresas levariam o dobro do tempo da selecionada. Desta maneira, o aumento desta distância iria onerar os cofres públicos.</w:t>
      </w:r>
    </w:p>
    <w:p w:rsidR="006F317B" w:rsidRDefault="006F317B" w:rsidP="00920632">
      <w:pPr>
        <w:pStyle w:val="Ttulo1"/>
        <w:shd w:val="clear" w:color="auto" w:fill="EEECE1" w:themeFill="background2"/>
        <w:tabs>
          <w:tab w:val="left" w:pos="284"/>
          <w:tab w:val="right" w:pos="10724"/>
        </w:tabs>
        <w:spacing w:after="44" w:line="276" w:lineRule="auto"/>
        <w:ind w:left="-5" w:right="0"/>
        <w:jc w:val="both"/>
      </w:pPr>
      <w:r>
        <w:t>3.</w:t>
      </w:r>
      <w:r>
        <w:tab/>
        <w:t xml:space="preserve">CLÁUSULA </w:t>
      </w:r>
      <w:proofErr w:type="gramStart"/>
      <w:r>
        <w:t>TERCEIRA – DA DESCRIÇÃO DA SOLUÇÃO COMO UM TODO CONSIDERADO</w:t>
      </w:r>
      <w:proofErr w:type="gramEnd"/>
      <w:r>
        <w:t xml:space="preserve"> O CICLO DE VIDA OBJETO</w:t>
      </w:r>
    </w:p>
    <w:p w:rsidR="006F317B" w:rsidRDefault="006F317B" w:rsidP="00920632">
      <w:pPr>
        <w:tabs>
          <w:tab w:val="left" w:pos="284"/>
          <w:tab w:val="center" w:pos="4578"/>
        </w:tabs>
        <w:spacing w:line="276" w:lineRule="auto"/>
        <w:ind w:left="-5"/>
        <w:jc w:val="both"/>
      </w:pPr>
      <w:r>
        <w:t xml:space="preserve">3.1. A solução como um todo deverá dispor </w:t>
      </w:r>
      <w:proofErr w:type="gramStart"/>
      <w:r>
        <w:t>à</w:t>
      </w:r>
      <w:proofErr w:type="gramEnd"/>
      <w:r>
        <w:t xml:space="preserve"> contratante o seguinte:</w:t>
      </w:r>
    </w:p>
    <w:p w:rsidR="006F317B" w:rsidRDefault="006F317B" w:rsidP="00920632">
      <w:pPr>
        <w:tabs>
          <w:tab w:val="left" w:pos="284"/>
        </w:tabs>
        <w:spacing w:after="72" w:line="276" w:lineRule="auto"/>
        <w:ind w:right="193" w:hanging="15"/>
        <w:jc w:val="both"/>
      </w:pPr>
      <w:r>
        <w:t xml:space="preserve">3.1.1. </w:t>
      </w:r>
      <w:r w:rsidRPr="00DD41C8">
        <w:t xml:space="preserve"> </w:t>
      </w:r>
      <w:r>
        <w:t xml:space="preserve">Coleta, Transporte, Tratamento e Destinação Final de Resíduos de Saúde; </w:t>
      </w:r>
    </w:p>
    <w:p w:rsidR="006F317B" w:rsidRDefault="006F317B" w:rsidP="00920632">
      <w:pPr>
        <w:tabs>
          <w:tab w:val="left" w:pos="284"/>
        </w:tabs>
        <w:spacing w:after="72" w:line="276" w:lineRule="auto"/>
        <w:ind w:right="193" w:hanging="15"/>
        <w:jc w:val="both"/>
      </w:pPr>
      <w:r>
        <w:t xml:space="preserve">2.1.2. Elaboração de Plano de Gerenciamento de Resíduos; </w:t>
      </w:r>
    </w:p>
    <w:p w:rsidR="006F317B" w:rsidRDefault="006F317B" w:rsidP="00920632">
      <w:pPr>
        <w:tabs>
          <w:tab w:val="left" w:pos="284"/>
        </w:tabs>
        <w:spacing w:after="72" w:line="276" w:lineRule="auto"/>
        <w:ind w:right="193" w:hanging="15"/>
        <w:jc w:val="both"/>
      </w:pPr>
      <w:r>
        <w:t>2.1.3. Projetos e Licenciamentos Ambientais;</w:t>
      </w:r>
    </w:p>
    <w:p w:rsidR="006F317B" w:rsidRDefault="006F317B" w:rsidP="00920632">
      <w:pPr>
        <w:tabs>
          <w:tab w:val="left" w:pos="284"/>
        </w:tabs>
        <w:spacing w:after="72" w:line="276" w:lineRule="auto"/>
        <w:ind w:right="193" w:hanging="15"/>
        <w:jc w:val="both"/>
      </w:pPr>
      <w:r>
        <w:t>2.1.4. Treinamentos e Assessorias Ambientais;</w:t>
      </w:r>
    </w:p>
    <w:p w:rsidR="006F317B" w:rsidRDefault="006F317B" w:rsidP="00920632">
      <w:pPr>
        <w:tabs>
          <w:tab w:val="left" w:pos="284"/>
          <w:tab w:val="center" w:pos="4574"/>
        </w:tabs>
        <w:spacing w:line="276" w:lineRule="auto"/>
        <w:ind w:left="-5"/>
        <w:jc w:val="both"/>
      </w:pPr>
      <w:r>
        <w:t xml:space="preserve">2.1.5. Comercialização de uma linha completa de produtos para o correto acondicionamento dos resíduos de saúde da Secretaria Municipal de Saúde </w:t>
      </w:r>
      <w:r w:rsidRPr="00DD41C8">
        <w:t>do município de LAJEADO DO BUGRE RS.</w:t>
      </w:r>
    </w:p>
    <w:p w:rsidR="006F317B" w:rsidRDefault="006F317B" w:rsidP="00920632">
      <w:pPr>
        <w:tabs>
          <w:tab w:val="left" w:pos="284"/>
          <w:tab w:val="center" w:pos="4421"/>
        </w:tabs>
        <w:spacing w:line="276" w:lineRule="auto"/>
        <w:ind w:left="-5"/>
        <w:jc w:val="both"/>
      </w:pPr>
      <w:r>
        <w:t xml:space="preserve">3.1.2. Período: </w:t>
      </w:r>
      <w:proofErr w:type="gramStart"/>
      <w:r>
        <w:t>7</w:t>
      </w:r>
      <w:proofErr w:type="gramEnd"/>
      <w:r>
        <w:t xml:space="preserve"> meses, a contar da data de assinatura do contrato, podendo ser renovado de acordo com a Lei Nº 14.133/2021.</w:t>
      </w:r>
    </w:p>
    <w:tbl>
      <w:tblPr>
        <w:tblStyle w:val="TableGrid"/>
        <w:tblW w:w="10065" w:type="dxa"/>
        <w:tblInd w:w="0" w:type="dxa"/>
        <w:tblCellMar>
          <w:top w:w="60" w:type="dxa"/>
          <w:right w:w="115" w:type="dxa"/>
        </w:tblCellMar>
        <w:tblLook w:val="04A0" w:firstRow="1" w:lastRow="0" w:firstColumn="1" w:lastColumn="0" w:noHBand="0" w:noVBand="1"/>
      </w:tblPr>
      <w:tblGrid>
        <w:gridCol w:w="10065"/>
      </w:tblGrid>
      <w:tr w:rsidR="006F317B" w:rsidTr="00866B1F">
        <w:trPr>
          <w:trHeight w:val="360"/>
        </w:trPr>
        <w:tc>
          <w:tcPr>
            <w:tcW w:w="10065" w:type="dxa"/>
            <w:tcBorders>
              <w:top w:val="nil"/>
              <w:left w:val="nil"/>
              <w:bottom w:val="nil"/>
              <w:right w:val="nil"/>
            </w:tcBorders>
            <w:shd w:val="clear" w:color="auto" w:fill="E6E6E6"/>
          </w:tcPr>
          <w:p w:rsidR="006F317B" w:rsidRDefault="006F317B" w:rsidP="00920632">
            <w:pPr>
              <w:spacing w:after="0" w:line="276" w:lineRule="auto"/>
              <w:ind w:right="454"/>
              <w:jc w:val="both"/>
            </w:pPr>
            <w:r>
              <w:rPr>
                <w:b/>
              </w:rPr>
              <w:t>4. CLÁUSULA QUARTA – DOS REQUISITOS DA CONTRATAÇÃO</w:t>
            </w:r>
          </w:p>
        </w:tc>
      </w:tr>
    </w:tbl>
    <w:p w:rsidR="006F317B" w:rsidRDefault="006F317B" w:rsidP="00920632">
      <w:pPr>
        <w:spacing w:after="23" w:line="276" w:lineRule="auto"/>
        <w:jc w:val="both"/>
      </w:pPr>
      <w:r>
        <w:rPr>
          <w:sz w:val="20"/>
        </w:rPr>
        <w:t xml:space="preserve"> </w:t>
      </w:r>
    </w:p>
    <w:p w:rsidR="006F317B" w:rsidRDefault="006F317B" w:rsidP="00920632">
      <w:pPr>
        <w:spacing w:line="276" w:lineRule="auto"/>
        <w:ind w:left="-5" w:right="193"/>
        <w:jc w:val="both"/>
      </w:pPr>
      <w:r>
        <w:t xml:space="preserve">4.1. Além dos critérios de sustentabilidade eventualmente inseridos na descrição do objeto, </w:t>
      </w:r>
      <w:hyperlink r:id="rId8">
        <w:r>
          <w:t xml:space="preserve">devem ser atendidos os seguintes requisitos, que se baseiam no </w:t>
        </w:r>
      </w:hyperlink>
      <w:hyperlink r:id="rId9">
        <w:r>
          <w:rPr>
            <w:color w:val="0000EE"/>
            <w:u w:val="single" w:color="0000EE"/>
          </w:rPr>
          <w:t>Guia Nacional de Contratações Sustentáveis</w:t>
        </w:r>
      </w:hyperlink>
      <w:hyperlink r:id="rId10">
        <w:proofErr w:type="gramStart"/>
        <w:r>
          <w:t>:</w:t>
        </w:r>
        <w:proofErr w:type="gramEnd"/>
      </w:hyperlink>
    </w:p>
    <w:p w:rsidR="006F317B" w:rsidRDefault="006F317B" w:rsidP="00920632">
      <w:pPr>
        <w:tabs>
          <w:tab w:val="left" w:pos="284"/>
        </w:tabs>
        <w:spacing w:line="276" w:lineRule="auto"/>
        <w:ind w:left="-5" w:right="193"/>
        <w:jc w:val="both"/>
      </w:pPr>
      <w:r>
        <w:t>4.1.1. Para que o objeto da contratação seja atendido, a intuição deverá disponibilizar atendimento aos usuários, conforme descrito neste termo de referência.</w:t>
      </w:r>
    </w:p>
    <w:p w:rsidR="006F317B" w:rsidRDefault="006F317B" w:rsidP="00920632">
      <w:pPr>
        <w:tabs>
          <w:tab w:val="left" w:pos="284"/>
        </w:tabs>
        <w:spacing w:line="276" w:lineRule="auto"/>
        <w:ind w:left="-5" w:right="193"/>
        <w:jc w:val="both"/>
      </w:pPr>
      <w:r>
        <w:t>4.2. Manter profissionais capacitados com as atividades a serem desenvolvidas, de acordo com o objeto deste termo de referência.</w:t>
      </w:r>
    </w:p>
    <w:p w:rsidR="006F317B" w:rsidRDefault="006F317B" w:rsidP="00920632">
      <w:pPr>
        <w:tabs>
          <w:tab w:val="left" w:pos="284"/>
        </w:tabs>
        <w:spacing w:after="56" w:line="276" w:lineRule="auto"/>
        <w:ind w:left="-5"/>
        <w:jc w:val="both"/>
      </w:pPr>
      <w:r>
        <w:rPr>
          <w:b/>
        </w:rPr>
        <w:t>Subcontratação</w:t>
      </w:r>
    </w:p>
    <w:p w:rsidR="006F317B" w:rsidRDefault="006F317B" w:rsidP="00920632">
      <w:pPr>
        <w:tabs>
          <w:tab w:val="left" w:pos="284"/>
        </w:tabs>
        <w:spacing w:after="23" w:line="276" w:lineRule="auto"/>
        <w:ind w:left="-5"/>
        <w:jc w:val="both"/>
      </w:pPr>
      <w:r>
        <w:rPr>
          <w:sz w:val="20"/>
        </w:rPr>
        <w:t xml:space="preserve"> </w:t>
      </w:r>
      <w:r>
        <w:t>4.2. Não será admitida a subcontratação do objeto contratual.</w:t>
      </w:r>
    </w:p>
    <w:p w:rsidR="006F317B" w:rsidRDefault="006F317B" w:rsidP="00920632">
      <w:pPr>
        <w:pStyle w:val="Ttulo2"/>
        <w:tabs>
          <w:tab w:val="left" w:pos="284"/>
        </w:tabs>
        <w:spacing w:after="56" w:line="276" w:lineRule="auto"/>
        <w:ind w:left="-5" w:right="0"/>
        <w:jc w:val="both"/>
      </w:pPr>
      <w:r>
        <w:t>Garantia da contratação</w:t>
      </w:r>
    </w:p>
    <w:p w:rsidR="006F317B" w:rsidRDefault="006F317B" w:rsidP="00920632">
      <w:pPr>
        <w:spacing w:line="276" w:lineRule="auto"/>
        <w:ind w:left="-5" w:right="193"/>
        <w:jc w:val="both"/>
      </w:pPr>
      <w:r>
        <w:t xml:space="preserve">4.3. Não haverá exigência da garantia da contratação dos artigos 96 e seguintes da Lei nº 14.133, de 2021, visto se tratar de contratação por inexigibilidade de licitação, de prestação </w:t>
      </w:r>
      <w:r>
        <w:lastRenderedPageBreak/>
        <w:t>de serviços semanais, onde este será comprovado por meio de relatórios mensais, e o pagamento ocorrerá somente com a efetiva prestação dos serviços.</w:t>
      </w:r>
    </w:p>
    <w:p w:rsidR="006F317B" w:rsidRDefault="006F317B" w:rsidP="00920632">
      <w:pPr>
        <w:numPr>
          <w:ilvl w:val="0"/>
          <w:numId w:val="2"/>
        </w:numPr>
        <w:shd w:val="clear" w:color="auto" w:fill="D9D9D9" w:themeFill="background1" w:themeFillShade="D9"/>
        <w:tabs>
          <w:tab w:val="left" w:pos="284"/>
          <w:tab w:val="left" w:pos="426"/>
        </w:tabs>
        <w:spacing w:after="143" w:line="276" w:lineRule="auto"/>
        <w:ind w:left="0"/>
        <w:jc w:val="both"/>
      </w:pPr>
      <w:r>
        <w:rPr>
          <w:b/>
          <w:shd w:val="clear" w:color="auto" w:fill="E6E6E6"/>
        </w:rPr>
        <w:t xml:space="preserve">CLÁUSULA QUINTA – DO MODELO DE EXECUÇÃO CONTRATUAL </w:t>
      </w:r>
    </w:p>
    <w:p w:rsidR="006F317B" w:rsidRDefault="006F317B" w:rsidP="00920632">
      <w:pPr>
        <w:numPr>
          <w:ilvl w:val="1"/>
          <w:numId w:val="2"/>
        </w:numPr>
        <w:tabs>
          <w:tab w:val="left" w:pos="284"/>
        </w:tabs>
        <w:spacing w:after="122" w:line="276" w:lineRule="auto"/>
        <w:ind w:left="0" w:right="193"/>
        <w:jc w:val="both"/>
      </w:pPr>
      <w:r>
        <w:t>O prazo de execução dos serviços será de 07 (sete) meses, a contar da data de assinatura do contrato, podendo este ser renovado de acordo com a Lei nº 14.133/2021.</w:t>
      </w:r>
    </w:p>
    <w:p w:rsidR="006F317B" w:rsidRDefault="006F317B" w:rsidP="00920632">
      <w:pPr>
        <w:tabs>
          <w:tab w:val="left" w:pos="284"/>
        </w:tabs>
        <w:spacing w:after="7" w:line="276" w:lineRule="auto"/>
        <w:jc w:val="both"/>
      </w:pPr>
      <w:r>
        <w:rPr>
          <w:sz w:val="20"/>
        </w:rPr>
        <w:t xml:space="preserve"> </w:t>
      </w:r>
      <w:r>
        <w:t>Local da prestação dos serviços</w:t>
      </w:r>
    </w:p>
    <w:p w:rsidR="006F317B" w:rsidRDefault="006F317B" w:rsidP="00920632">
      <w:pPr>
        <w:tabs>
          <w:tab w:val="left" w:pos="284"/>
          <w:tab w:val="right" w:pos="10724"/>
        </w:tabs>
        <w:spacing w:after="12" w:line="276" w:lineRule="auto"/>
        <w:ind w:left="-15"/>
        <w:jc w:val="both"/>
      </w:pPr>
      <w:r>
        <w:t>5.4. Os serviços serão prestados no município de Lajeado do Bugre/RS.</w:t>
      </w:r>
    </w:p>
    <w:p w:rsidR="006F317B" w:rsidRDefault="006F317B" w:rsidP="00920632">
      <w:pPr>
        <w:tabs>
          <w:tab w:val="left" w:pos="284"/>
          <w:tab w:val="right" w:pos="10724"/>
        </w:tabs>
        <w:spacing w:after="12" w:line="276" w:lineRule="auto"/>
        <w:ind w:left="-15"/>
        <w:jc w:val="both"/>
      </w:pPr>
    </w:p>
    <w:p w:rsidR="006F317B" w:rsidRPr="002036C1" w:rsidRDefault="006F317B" w:rsidP="00920632">
      <w:pPr>
        <w:shd w:val="clear" w:color="auto" w:fill="EEECE1" w:themeFill="background2"/>
        <w:tabs>
          <w:tab w:val="left" w:pos="284"/>
        </w:tabs>
        <w:spacing w:after="0" w:line="276" w:lineRule="auto"/>
        <w:jc w:val="both"/>
        <w:rPr>
          <w:b/>
          <w:bCs/>
          <w:szCs w:val="24"/>
        </w:rPr>
      </w:pPr>
      <w:r w:rsidRPr="002036C1">
        <w:rPr>
          <w:b/>
          <w:bCs/>
          <w:szCs w:val="24"/>
        </w:rPr>
        <w:t xml:space="preserve"> 6.</w:t>
      </w:r>
      <w:r>
        <w:rPr>
          <w:b/>
          <w:bCs/>
          <w:szCs w:val="24"/>
        </w:rPr>
        <w:t xml:space="preserve"> CLÁUSULA SEXTA – DOS</w:t>
      </w:r>
      <w:r w:rsidRPr="002036C1">
        <w:rPr>
          <w:b/>
          <w:bCs/>
          <w:szCs w:val="24"/>
        </w:rPr>
        <w:t xml:space="preserve"> MATERIAIS A SEREM DISPONIBILIZADOS</w:t>
      </w:r>
    </w:p>
    <w:p w:rsidR="006F317B" w:rsidRDefault="006F317B" w:rsidP="00920632">
      <w:pPr>
        <w:tabs>
          <w:tab w:val="left" w:pos="284"/>
        </w:tabs>
        <w:spacing w:line="276" w:lineRule="auto"/>
        <w:ind w:right="193"/>
        <w:jc w:val="both"/>
      </w:pPr>
      <w:r>
        <w:t>6.1. Para a perfeita execução dos serviços, a Contratada deverá disponibilizar os materiais, equipamentos, ferramentas e utensílios necessários, nas quantidades estimadas e qualidades a seguir estabelecidas, promovendo sua substituição quando necessário:</w:t>
      </w:r>
    </w:p>
    <w:p w:rsidR="006F317B" w:rsidRDefault="006F317B" w:rsidP="00920632">
      <w:pPr>
        <w:tabs>
          <w:tab w:val="left" w:pos="284"/>
          <w:tab w:val="center" w:pos="2154"/>
        </w:tabs>
        <w:spacing w:line="276" w:lineRule="auto"/>
        <w:jc w:val="both"/>
      </w:pPr>
      <w:r>
        <w:t xml:space="preserve">6.1.1. Espaço físico; </w:t>
      </w:r>
      <w:proofErr w:type="gramStart"/>
      <w:r>
        <w:t>e</w:t>
      </w:r>
      <w:proofErr w:type="gramEnd"/>
    </w:p>
    <w:p w:rsidR="006F317B" w:rsidRDefault="006F317B" w:rsidP="00920632">
      <w:pPr>
        <w:tabs>
          <w:tab w:val="left" w:pos="284"/>
          <w:tab w:val="center" w:pos="3478"/>
        </w:tabs>
        <w:spacing w:line="276" w:lineRule="auto"/>
        <w:jc w:val="both"/>
      </w:pPr>
      <w:r>
        <w:t>6.1.2. Apoio de Profissionais Capacitados.</w:t>
      </w:r>
    </w:p>
    <w:p w:rsidR="006F317B" w:rsidRPr="002036C1" w:rsidRDefault="006F317B" w:rsidP="00920632">
      <w:pPr>
        <w:shd w:val="clear" w:color="auto" w:fill="EEECE1" w:themeFill="background2"/>
        <w:spacing w:after="0" w:line="276" w:lineRule="auto"/>
        <w:jc w:val="both"/>
        <w:rPr>
          <w:b/>
          <w:bCs/>
          <w:szCs w:val="24"/>
        </w:rPr>
      </w:pPr>
      <w:r w:rsidRPr="002036C1">
        <w:rPr>
          <w:b/>
          <w:bCs/>
          <w:szCs w:val="24"/>
        </w:rPr>
        <w:t xml:space="preserve">7.  </w:t>
      </w:r>
      <w:r>
        <w:rPr>
          <w:b/>
          <w:bCs/>
          <w:szCs w:val="24"/>
        </w:rPr>
        <w:t xml:space="preserve">CLÁUSULA SÉTIMA – DAS </w:t>
      </w:r>
      <w:r w:rsidRPr="002036C1">
        <w:rPr>
          <w:b/>
          <w:bCs/>
          <w:szCs w:val="24"/>
        </w:rPr>
        <w:t>INFORMAÇÕES RELEVANTES PARA O DIMENSIONAMENTO DA PROPOSTA</w:t>
      </w:r>
    </w:p>
    <w:p w:rsidR="006F317B" w:rsidRDefault="006F317B" w:rsidP="00920632">
      <w:pPr>
        <w:spacing w:after="23" w:line="276" w:lineRule="auto"/>
        <w:jc w:val="both"/>
      </w:pPr>
      <w:r>
        <w:t>7.1.</w:t>
      </w:r>
      <w:r>
        <w:tab/>
        <w:t>A demanda do órgão tem como base as seguintes características:</w:t>
      </w:r>
    </w:p>
    <w:p w:rsidR="006F317B" w:rsidRDefault="006F317B" w:rsidP="00920632">
      <w:pPr>
        <w:spacing w:line="276" w:lineRule="auto"/>
        <w:ind w:left="-5" w:right="127"/>
        <w:jc w:val="both"/>
      </w:pPr>
      <w:r>
        <w:t>7.1.1. A empresa é a mais próxima do município das que prestam o mesmo serviço.</w:t>
      </w:r>
    </w:p>
    <w:p w:rsidR="006F317B" w:rsidRDefault="006F317B" w:rsidP="00920632">
      <w:pPr>
        <w:spacing w:after="84" w:line="276" w:lineRule="auto"/>
        <w:ind w:left="-5" w:right="193"/>
        <w:jc w:val="both"/>
      </w:pPr>
      <w:r>
        <w:t>7.1.2. Com base na evidente necessidade do município o referido serviço é essencial para a destinação e o transporte corretos dos resíduos gerados na secretaria municipal de saúde.</w:t>
      </w:r>
    </w:p>
    <w:p w:rsidR="006F317B" w:rsidRDefault="006F317B" w:rsidP="00920632">
      <w:pPr>
        <w:spacing w:after="84" w:line="276" w:lineRule="auto"/>
        <w:ind w:left="-5" w:right="193"/>
        <w:jc w:val="both"/>
      </w:pPr>
    </w:p>
    <w:p w:rsidR="006F317B" w:rsidRDefault="006F317B" w:rsidP="00920632">
      <w:pPr>
        <w:shd w:val="clear" w:color="auto" w:fill="EEECE1" w:themeFill="background2"/>
        <w:spacing w:after="0" w:line="276" w:lineRule="auto"/>
        <w:jc w:val="both"/>
      </w:pPr>
      <w:r w:rsidRPr="00156E2D">
        <w:rPr>
          <w:b/>
          <w:bCs/>
          <w:szCs w:val="24"/>
        </w:rPr>
        <w:t xml:space="preserve">8.  </w:t>
      </w:r>
      <w:r>
        <w:rPr>
          <w:b/>
          <w:bCs/>
          <w:szCs w:val="24"/>
        </w:rPr>
        <w:t xml:space="preserve">CLÁUSULA OITAVA – DO </w:t>
      </w:r>
      <w:r w:rsidRPr="00156E2D">
        <w:rPr>
          <w:b/>
          <w:bCs/>
          <w:szCs w:val="24"/>
        </w:rPr>
        <w:t>MODELO DE</w:t>
      </w:r>
      <w:r>
        <w:rPr>
          <w:b/>
        </w:rPr>
        <w:t xml:space="preserve"> GESTÃO DO CONTRATO</w:t>
      </w:r>
    </w:p>
    <w:p w:rsidR="006F317B" w:rsidRDefault="006F317B" w:rsidP="00920632">
      <w:pPr>
        <w:tabs>
          <w:tab w:val="left" w:pos="284"/>
        </w:tabs>
        <w:spacing w:after="7" w:line="276" w:lineRule="auto"/>
        <w:jc w:val="both"/>
      </w:pPr>
      <w:r>
        <w:t xml:space="preserve"> </w:t>
      </w:r>
    </w:p>
    <w:p w:rsidR="006F317B" w:rsidRPr="00156E2D" w:rsidRDefault="006F317B" w:rsidP="00920632">
      <w:pPr>
        <w:tabs>
          <w:tab w:val="left" w:pos="284"/>
          <w:tab w:val="center" w:pos="3449"/>
        </w:tabs>
        <w:spacing w:after="107" w:line="276" w:lineRule="auto"/>
        <w:jc w:val="both"/>
        <w:rPr>
          <w:b/>
          <w:bCs/>
        </w:rPr>
      </w:pPr>
      <w:r w:rsidRPr="00156E2D">
        <w:rPr>
          <w:b/>
          <w:bCs/>
        </w:rPr>
        <w:t>8.1. ROTINA DE FISCALIZAÇÃO CONTRATUAL.</w:t>
      </w:r>
    </w:p>
    <w:p w:rsidR="006F317B" w:rsidRDefault="006F317B" w:rsidP="00920632">
      <w:pPr>
        <w:tabs>
          <w:tab w:val="left" w:pos="284"/>
        </w:tabs>
        <w:spacing w:line="276" w:lineRule="auto"/>
        <w:ind w:right="193"/>
        <w:jc w:val="both"/>
      </w:pPr>
      <w:r>
        <w:t xml:space="preserve">8.1.1. O contrato deverá ser executado fielmente pelas partes, de acordo com as cláusulas avençadas e as normas da Lei nº 14.133, de 2021, e cada parte </w:t>
      </w:r>
      <w:proofErr w:type="gramStart"/>
      <w:r>
        <w:t>responderá</w:t>
      </w:r>
      <w:proofErr w:type="gramEnd"/>
      <w:r>
        <w:t xml:space="preserve"> pelas consequências de sua inexecução total ou parcial (Lei nº 14.133/2021, art. 115, caput).</w:t>
      </w:r>
    </w:p>
    <w:p w:rsidR="006F317B" w:rsidRDefault="006F317B" w:rsidP="00920632">
      <w:pPr>
        <w:tabs>
          <w:tab w:val="left" w:pos="284"/>
        </w:tabs>
        <w:spacing w:line="276" w:lineRule="auto"/>
        <w:ind w:right="193"/>
        <w:jc w:val="both"/>
      </w:pPr>
      <w:r>
        <w:t>8.1.2. Em caso de impedimento, ordem de paralisação ou suspensão do contrato, o cronograma de execução será prorrogado automaticamente pelo tempo correspondente, anotadas tais circunstâncias mediante simples apostila (Lei nº 14.133/2021, art. 115, §5º).</w:t>
      </w:r>
    </w:p>
    <w:p w:rsidR="006F317B" w:rsidRDefault="006F317B" w:rsidP="00920632">
      <w:pPr>
        <w:tabs>
          <w:tab w:val="left" w:pos="284"/>
        </w:tabs>
        <w:spacing w:line="276" w:lineRule="auto"/>
        <w:ind w:right="193"/>
        <w:jc w:val="both"/>
      </w:pPr>
      <w:r>
        <w:t xml:space="preserve">8.1.3. A execução do contrato deverá ser acompanhada e fiscalizada pelo(s) </w:t>
      </w:r>
      <w:proofErr w:type="gramStart"/>
      <w:r>
        <w:t>fiscal(</w:t>
      </w:r>
      <w:proofErr w:type="spellStart"/>
      <w:proofErr w:type="gramEnd"/>
      <w:r>
        <w:t>is</w:t>
      </w:r>
      <w:proofErr w:type="spellEnd"/>
      <w:r>
        <w:t>) do contrato, ou pelos respectivos substitutos (Lei nº 14.133/2021, art. 117, caput).</w:t>
      </w:r>
    </w:p>
    <w:p w:rsidR="006F317B" w:rsidRDefault="006F317B" w:rsidP="00920632">
      <w:pPr>
        <w:spacing w:line="276" w:lineRule="auto"/>
        <w:ind w:left="-5" w:right="193"/>
        <w:jc w:val="both"/>
      </w:pPr>
      <w:r>
        <w:lastRenderedPageBreak/>
        <w:t>8.1.3.1. O fiscal do contrato anotará em registro próprio todas as ocorrências relacionadas ao Termo de Referência, a execução do contrato, determinando o que for necessário para a regularização das faltas ou dos defeitos observados (Lei nº 14.133/2021, art. 117, §1º).</w:t>
      </w:r>
    </w:p>
    <w:p w:rsidR="006F317B" w:rsidRDefault="006F317B" w:rsidP="00920632">
      <w:pPr>
        <w:spacing w:line="276" w:lineRule="auto"/>
        <w:ind w:left="-5" w:right="193"/>
        <w:jc w:val="both"/>
      </w:pPr>
      <w:r>
        <w:t>8.1.4. O fiscal do contrato informará a seus superiores, em tempo hábil para a adoção das medidas convenientes, a situação que demandar decisão ou providência que ultrapasse sua competência (Lei nº 14.133/2021, art. 117, §2º).</w:t>
      </w:r>
    </w:p>
    <w:p w:rsidR="006F317B" w:rsidRDefault="006F317B" w:rsidP="00920632">
      <w:pPr>
        <w:spacing w:line="276" w:lineRule="auto"/>
        <w:ind w:left="-5" w:right="193"/>
        <w:jc w:val="both"/>
      </w:pPr>
      <w:r>
        <w:t>8.1.5. 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rsidR="006F317B" w:rsidRDefault="006F317B" w:rsidP="00920632">
      <w:pPr>
        <w:spacing w:line="276" w:lineRule="auto"/>
        <w:ind w:left="-5" w:right="193"/>
        <w:jc w:val="both"/>
      </w:pPr>
      <w:r>
        <w:t xml:space="preserve">8.1.6. O contratado será responsável pelos danos causados diretamente à Administração ou a terceiros em razão da execução do contrato, e não excluirá nem reduzirá essa responsabilidade </w:t>
      </w:r>
      <w:proofErr w:type="gramStart"/>
      <w:r>
        <w:t>a</w:t>
      </w:r>
      <w:proofErr w:type="gramEnd"/>
      <w:r>
        <w:t xml:space="preserve"> fiscalização ou o acompanhamento pelo contratante (Lei nº 14.133/2021, art. 120).</w:t>
      </w:r>
    </w:p>
    <w:p w:rsidR="006F317B" w:rsidRDefault="006F317B" w:rsidP="00920632">
      <w:pPr>
        <w:spacing w:line="276" w:lineRule="auto"/>
        <w:ind w:left="-5" w:right="193"/>
        <w:jc w:val="both"/>
      </w:pPr>
      <w:r>
        <w:t>8.1.7. Somente o contratado será responsável pelos encargos trabalhistas, previdenciários, fiscais e comerciais resultantes da execução do contrato (Lei nº 14.133/2021, art. 121, caput).</w:t>
      </w:r>
    </w:p>
    <w:p w:rsidR="006F317B" w:rsidRDefault="006F317B" w:rsidP="00920632">
      <w:pPr>
        <w:spacing w:line="276" w:lineRule="auto"/>
        <w:ind w:left="-5" w:right="193"/>
        <w:jc w:val="both"/>
      </w:pPr>
      <w:r>
        <w:t>8.1.7.1. A inadimplência do contratado em relação aos encargos trabalhistas, fiscais e comerciais não transferirá à Administração a responsabilidade pelo seu pagamento e não poderá onerar o objeto do contrato (Lei nº 14.133/2021, art. 121, §1º).</w:t>
      </w:r>
    </w:p>
    <w:p w:rsidR="006F317B" w:rsidRDefault="006F317B" w:rsidP="00920632">
      <w:pPr>
        <w:spacing w:line="276" w:lineRule="auto"/>
        <w:ind w:left="-5" w:right="193"/>
        <w:jc w:val="both"/>
      </w:pPr>
      <w:r>
        <w:t xml:space="preserve">8.1.8. As comunicações entre o órgão ou entidade e a contratada devem ser realizadas por escrito sempre que o ato exigir tal formalidade, </w:t>
      </w:r>
      <w:proofErr w:type="spellStart"/>
      <w:r>
        <w:t>admistrando-se</w:t>
      </w:r>
      <w:proofErr w:type="spellEnd"/>
      <w:r>
        <w:t xml:space="preserve">, excepcionalmente, o uso de mensagem eletrônica para esse fim (IN 5/2017, art. 44, §2º). </w:t>
      </w:r>
    </w:p>
    <w:p w:rsidR="006F317B" w:rsidRDefault="006F317B" w:rsidP="00920632">
      <w:pPr>
        <w:spacing w:line="276" w:lineRule="auto"/>
        <w:ind w:left="-5" w:right="193"/>
        <w:jc w:val="both"/>
      </w:pPr>
      <w:r>
        <w:t>8.1.9. O órgão ou entidade poderá convocar representante da empresa para adoção de providências que devam ser cumpridas de imediato (IN 5/2017, art. 44, §3º).</w:t>
      </w:r>
    </w:p>
    <w:p w:rsidR="006F317B" w:rsidRDefault="006F317B" w:rsidP="00920632">
      <w:pPr>
        <w:spacing w:line="276" w:lineRule="auto"/>
        <w:ind w:left="-5" w:right="193"/>
        <w:jc w:val="both"/>
      </w:pPr>
      <w:r>
        <w:t>8.1.10.</w:t>
      </w:r>
      <w:r>
        <w:tab/>
        <w:t>Antes do pagamento da nota fiscal ou da fatura, deverá ser consultada a situação da empresa junto ao SICAF.</w:t>
      </w:r>
    </w:p>
    <w:p w:rsidR="006F317B" w:rsidRDefault="006F317B" w:rsidP="00920632">
      <w:pPr>
        <w:spacing w:after="84" w:line="276" w:lineRule="auto"/>
        <w:ind w:left="-5" w:right="61"/>
        <w:jc w:val="both"/>
      </w:pPr>
      <w:r>
        <w:t xml:space="preserve">8.1.11. </w:t>
      </w:r>
      <w:proofErr w:type="gramStart"/>
      <w:r>
        <w:t>Serão</w:t>
      </w:r>
      <w:proofErr w:type="gramEnd"/>
      <w:r>
        <w:t xml:space="preserve">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rsidR="006F317B" w:rsidRDefault="006F317B" w:rsidP="00920632">
      <w:pPr>
        <w:spacing w:after="7" w:line="276" w:lineRule="auto"/>
        <w:ind w:left="2257"/>
        <w:jc w:val="both"/>
      </w:pPr>
      <w:r>
        <w:t xml:space="preserve"> </w:t>
      </w:r>
    </w:p>
    <w:p w:rsidR="006F317B" w:rsidRPr="00D20E81" w:rsidRDefault="006F317B" w:rsidP="00920632">
      <w:pPr>
        <w:pStyle w:val="Ttulo2"/>
        <w:shd w:val="clear" w:color="auto" w:fill="EEECE1" w:themeFill="background2"/>
        <w:tabs>
          <w:tab w:val="left" w:pos="284"/>
          <w:tab w:val="center" w:pos="4586"/>
        </w:tabs>
        <w:spacing w:line="276" w:lineRule="auto"/>
        <w:ind w:left="-15" w:right="0" w:firstLine="0"/>
        <w:jc w:val="both"/>
        <w:rPr>
          <w:bCs/>
        </w:rPr>
      </w:pPr>
      <w:r w:rsidRPr="00D20E81">
        <w:rPr>
          <w:bCs/>
        </w:rPr>
        <w:lastRenderedPageBreak/>
        <w:t>8.2. DOS CRITÉRIOS DE AFERIÇÃO E MEDIÇÃO PARA FATURAMENTO</w:t>
      </w:r>
    </w:p>
    <w:p w:rsidR="006F317B" w:rsidRDefault="006F317B" w:rsidP="00920632">
      <w:pPr>
        <w:tabs>
          <w:tab w:val="left" w:pos="284"/>
        </w:tabs>
        <w:spacing w:line="276" w:lineRule="auto"/>
        <w:ind w:left="-5" w:right="193"/>
        <w:jc w:val="both"/>
      </w:pPr>
      <w:r>
        <w:t>8.2.1. A avaliação da execução do objeto utilizará o disposto neste item, devendo haver o redimensionamento no pagamento com base nos indicadores estabelecidos, sempre que a CONTRATADA:</w:t>
      </w:r>
    </w:p>
    <w:p w:rsidR="006F317B" w:rsidRDefault="006F317B" w:rsidP="00920632">
      <w:pPr>
        <w:tabs>
          <w:tab w:val="left" w:pos="284"/>
        </w:tabs>
        <w:spacing w:line="276" w:lineRule="auto"/>
        <w:ind w:left="-5" w:right="193"/>
        <w:jc w:val="both"/>
      </w:pPr>
      <w:r>
        <w:t xml:space="preserve">8.2.2. a) não produzir os resultados, deixar de executar, ou não executar com a qualidade mínima exigida as atividades contratadas; </w:t>
      </w:r>
      <w:proofErr w:type="gramStart"/>
      <w:r>
        <w:t>ou</w:t>
      </w:r>
      <w:proofErr w:type="gramEnd"/>
    </w:p>
    <w:p w:rsidR="006F317B" w:rsidRDefault="006F317B" w:rsidP="00920632">
      <w:pPr>
        <w:tabs>
          <w:tab w:val="left" w:pos="284"/>
        </w:tabs>
        <w:spacing w:line="276" w:lineRule="auto"/>
        <w:ind w:left="-5" w:right="193"/>
        <w:jc w:val="both"/>
      </w:pPr>
      <w:r>
        <w:t>8.2.3. b) deixar de utilizar materiais e recursos humanos exigidos para a execução do serviço, ou utilizá-los com qualidade ou quantidade inferior à demandada.</w:t>
      </w:r>
    </w:p>
    <w:p w:rsidR="006F317B" w:rsidRDefault="006F317B" w:rsidP="00920632">
      <w:pPr>
        <w:tabs>
          <w:tab w:val="left" w:pos="284"/>
          <w:tab w:val="right" w:pos="10724"/>
        </w:tabs>
        <w:spacing w:after="12" w:line="276" w:lineRule="auto"/>
        <w:ind w:left="-15"/>
        <w:jc w:val="both"/>
      </w:pPr>
      <w:r>
        <w:t xml:space="preserve">8.2.4. Nos termos do item </w:t>
      </w:r>
      <w:proofErr w:type="gramStart"/>
      <w:r>
        <w:t>1</w:t>
      </w:r>
      <w:proofErr w:type="gramEnd"/>
      <w:r>
        <w:t>, do Anexo VIII-A da Instrução Normativa SEGES/MP nº 05, de 2017 será indicada a retenção ou glosa no pagamento, proporcional à irregularidade verificada, sem prejuízo das sanções cabíveis, caso se constate que a Contratada:</w:t>
      </w:r>
    </w:p>
    <w:p w:rsidR="006F317B" w:rsidRDefault="006F317B" w:rsidP="00920632">
      <w:pPr>
        <w:tabs>
          <w:tab w:val="center" w:pos="3299"/>
        </w:tabs>
        <w:spacing w:line="276" w:lineRule="auto"/>
        <w:ind w:left="-15"/>
        <w:jc w:val="both"/>
      </w:pPr>
      <w:r>
        <w:t>8.2.5.</w:t>
      </w:r>
      <w:r>
        <w:tab/>
        <w:t>não produziu os resultados acordados;</w:t>
      </w:r>
    </w:p>
    <w:p w:rsidR="006F317B" w:rsidRDefault="006F317B" w:rsidP="00920632">
      <w:pPr>
        <w:spacing w:line="276" w:lineRule="auto"/>
        <w:ind w:left="-5" w:right="193"/>
        <w:jc w:val="both"/>
      </w:pPr>
      <w:r>
        <w:t>8.2.6.</w:t>
      </w:r>
      <w:r>
        <w:tab/>
        <w:t>deixou de executar as atividades contratadas, ou não as executou com a qualidade mínima exigida;</w:t>
      </w:r>
    </w:p>
    <w:p w:rsidR="006F317B" w:rsidRDefault="006F317B" w:rsidP="00920632">
      <w:pPr>
        <w:spacing w:after="84" w:line="276" w:lineRule="auto"/>
        <w:ind w:left="-5" w:right="193"/>
        <w:jc w:val="both"/>
      </w:pPr>
      <w:r>
        <w:t xml:space="preserve">8.2.7. </w:t>
      </w:r>
      <w:proofErr w:type="gramStart"/>
      <w:r>
        <w:t>deixou</w:t>
      </w:r>
      <w:proofErr w:type="gramEnd"/>
      <w:r>
        <w:t xml:space="preserve"> de utilizar os materiais e recursos humanos exigidos para a execução do serviço, ou utilizou-os com qualidade ou quantidade inferior à demandada.</w:t>
      </w:r>
    </w:p>
    <w:p w:rsidR="006F317B" w:rsidRDefault="006F317B" w:rsidP="00920632">
      <w:pPr>
        <w:spacing w:after="7" w:line="276" w:lineRule="auto"/>
        <w:ind w:left="2257"/>
        <w:jc w:val="both"/>
      </w:pPr>
      <w:r>
        <w:t xml:space="preserve"> </w:t>
      </w:r>
    </w:p>
    <w:p w:rsidR="006F317B" w:rsidRPr="00EC3852" w:rsidRDefault="006F317B" w:rsidP="00920632">
      <w:pPr>
        <w:pStyle w:val="Ttulo2"/>
        <w:shd w:val="clear" w:color="auto" w:fill="EEECE1" w:themeFill="background2"/>
        <w:tabs>
          <w:tab w:val="left" w:pos="567"/>
          <w:tab w:val="center" w:pos="2330"/>
        </w:tabs>
        <w:spacing w:line="276" w:lineRule="auto"/>
        <w:ind w:left="-15" w:right="0" w:firstLine="0"/>
        <w:jc w:val="both"/>
        <w:rPr>
          <w:bCs/>
        </w:rPr>
      </w:pPr>
      <w:r w:rsidRPr="00EC3852">
        <w:rPr>
          <w:bCs/>
        </w:rPr>
        <w:t>8.3.</w:t>
      </w:r>
      <w:r w:rsidRPr="00EC3852">
        <w:rPr>
          <w:bCs/>
        </w:rPr>
        <w:tab/>
        <w:t>DO RECEBIMENTO</w:t>
      </w:r>
    </w:p>
    <w:p w:rsidR="006F317B" w:rsidRDefault="006F317B" w:rsidP="00920632">
      <w:pPr>
        <w:spacing w:line="276" w:lineRule="auto"/>
        <w:ind w:left="-5" w:right="193"/>
        <w:jc w:val="both"/>
      </w:pPr>
      <w:r>
        <w:t xml:space="preserve">8.3.1. Os serviços serão recebidos diariamente e mensalmente, a partir da data da assinatura do contrato, </w:t>
      </w:r>
      <w:proofErr w:type="gramStart"/>
      <w:r>
        <w:t>pelo(</w:t>
      </w:r>
      <w:proofErr w:type="gramEnd"/>
      <w:r>
        <w:t>a) responsável pelo acompanhamento e fiscalização do contrato, mediante termo detalhado, quando verificado o cumprimento das exigências de caráter técnico.</w:t>
      </w:r>
    </w:p>
    <w:p w:rsidR="006F317B" w:rsidRDefault="006F317B" w:rsidP="00920632">
      <w:pPr>
        <w:spacing w:line="276" w:lineRule="auto"/>
        <w:ind w:left="-5" w:right="193"/>
        <w:jc w:val="both"/>
      </w:pPr>
      <w:r>
        <w:t>8.3.1.1. O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rsidR="006F317B" w:rsidRDefault="006F317B" w:rsidP="00920632">
      <w:pPr>
        <w:spacing w:line="276" w:lineRule="auto"/>
        <w:ind w:left="-5" w:right="193"/>
        <w:jc w:val="both"/>
      </w:pPr>
      <w:r>
        <w:t>8.3.1.2.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6F317B" w:rsidRDefault="006F317B" w:rsidP="00920632">
      <w:pPr>
        <w:spacing w:line="276" w:lineRule="auto"/>
        <w:ind w:left="-5" w:right="193"/>
        <w:jc w:val="both"/>
      </w:pPr>
      <w:r>
        <w:t xml:space="preserve">8.3.1.3. O Contratado fica </w:t>
      </w:r>
      <w:proofErr w:type="gramStart"/>
      <w:r>
        <w:t>obrigada</w:t>
      </w:r>
      <w:proofErr w:type="gramEnd"/>
      <w:r>
        <w:t xml:space="preserve"> a reparar, corrigir, remover, reconstruir ou substituir, às suas expensas, no todo ou em parte, o objeto em que se verificarem vícios, defeitos ou incorreções resultantes da execução ou materiais empregados, cabendo à fiscalização não </w:t>
      </w:r>
      <w:r>
        <w:lastRenderedPageBreak/>
        <w:t>atestar a última e/ou única medição de serviços até que sejam sanadas todas as eventuais pendências que possam vir a ser apontadas no Recebimento Provisório.</w:t>
      </w:r>
    </w:p>
    <w:p w:rsidR="006F317B" w:rsidRDefault="006F317B" w:rsidP="00920632">
      <w:pPr>
        <w:spacing w:line="276" w:lineRule="auto"/>
        <w:ind w:left="-5" w:right="193"/>
        <w:jc w:val="both"/>
      </w:pPr>
      <w:r>
        <w:t>8.3.1.4. O recebimento provisório também ficará sujeito, quando cabível, à conclusão de todos os testes de campo e à entrega dos Manuais e Instruções exigíveis.</w:t>
      </w:r>
    </w:p>
    <w:p w:rsidR="006F317B" w:rsidRDefault="006F317B" w:rsidP="00920632">
      <w:pPr>
        <w:spacing w:line="276" w:lineRule="auto"/>
        <w:ind w:left="-5" w:right="193"/>
        <w:jc w:val="both"/>
      </w:pPr>
      <w:r>
        <w:t>8.3.1.5. No prazo supracitado para o recebimento provisório, cada fiscal ou a equipe de fiscalização deverá elaborar Relatório Circunstanciado em consonância com suas atribuições, e encaminhá-lo ao gestor do contrato.</w:t>
      </w:r>
    </w:p>
    <w:p w:rsidR="006F317B" w:rsidRDefault="006F317B" w:rsidP="00920632">
      <w:pPr>
        <w:spacing w:line="276" w:lineRule="auto"/>
        <w:ind w:left="-5" w:right="193"/>
        <w:jc w:val="both"/>
      </w:pPr>
      <w:r>
        <w:t xml:space="preserve">8.3.1.6. </w:t>
      </w:r>
      <w:proofErr w:type="gramStart"/>
      <w:r>
        <w:t>quando</w:t>
      </w:r>
      <w:proofErr w:type="gramEnd"/>
      <w:r>
        <w:t xml:space="preserve">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6F317B" w:rsidRDefault="006F317B" w:rsidP="00920632">
      <w:pPr>
        <w:spacing w:after="121" w:line="276" w:lineRule="auto"/>
        <w:ind w:left="-5"/>
        <w:jc w:val="both"/>
      </w:pPr>
      <w:r>
        <w:t>8.3.2.</w:t>
      </w:r>
      <w:r>
        <w:tab/>
        <w:t xml:space="preserve">Os serviços poderão ser rejeitados, no todo ou em parte, quando em desacordo com as especificações constantes neste Termo de Referência e na proposta, devendo ser corrigidos/refeitos/substituídos no prazo de </w:t>
      </w:r>
      <w:proofErr w:type="gramStart"/>
      <w:r>
        <w:t>3</w:t>
      </w:r>
      <w:proofErr w:type="gramEnd"/>
      <w:r>
        <w:t xml:space="preserve"> (três) dias, a contar da notificação da contratada, às suas custas, sem prejuízo da aplicação das penalidades.</w:t>
      </w:r>
    </w:p>
    <w:p w:rsidR="006F317B" w:rsidRDefault="006F317B" w:rsidP="00920632">
      <w:pPr>
        <w:spacing w:line="276" w:lineRule="auto"/>
        <w:ind w:left="-5" w:right="193"/>
        <w:jc w:val="both"/>
      </w:pPr>
      <w:r>
        <w:t>8.3.3. Os serviços serão recebidos definitivamente no prazo de 12 (doze) meses, contados da assinatura do contrato, por servidor ou comissão designada pela autoridade competente, após a verificação da qualidade e quantidade do serviço e consequente aceitação mediante termo detalhado, obedecendo as seguintes diretrizes:</w:t>
      </w:r>
    </w:p>
    <w:p w:rsidR="006F317B" w:rsidRDefault="006F317B" w:rsidP="00920632">
      <w:pPr>
        <w:spacing w:line="276" w:lineRule="auto"/>
        <w:ind w:left="-5" w:right="193"/>
        <w:jc w:val="both"/>
      </w:pPr>
      <w:r>
        <w:t>8.3.3.1.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6F317B" w:rsidRDefault="006F317B" w:rsidP="00920632">
      <w:pPr>
        <w:spacing w:line="276" w:lineRule="auto"/>
        <w:ind w:left="-5" w:right="193"/>
        <w:jc w:val="both"/>
      </w:pPr>
      <w:r>
        <w:t xml:space="preserve">8.3.3.2. Emitir Termo Circunstanciado para efeito de recebimento definitivo dos serviços prestados, com base nos relatórios e documentações apresentadas; </w:t>
      </w:r>
      <w:proofErr w:type="gramStart"/>
      <w:r>
        <w:t>e</w:t>
      </w:r>
      <w:proofErr w:type="gramEnd"/>
    </w:p>
    <w:p w:rsidR="006F317B" w:rsidRDefault="006F317B" w:rsidP="00920632">
      <w:pPr>
        <w:spacing w:line="276" w:lineRule="auto"/>
        <w:ind w:left="-5" w:right="193"/>
        <w:jc w:val="both"/>
      </w:pPr>
      <w:r>
        <w:t>8.3.3.3. Comunicar a empresa para que emita a Nota Fiscal ou Fatura, com o valor exato dimensionado pela fiscalização.</w:t>
      </w:r>
    </w:p>
    <w:p w:rsidR="006F317B" w:rsidRDefault="006F317B" w:rsidP="00920632">
      <w:pPr>
        <w:spacing w:after="0" w:line="276" w:lineRule="auto"/>
        <w:ind w:left="-5" w:right="193"/>
        <w:jc w:val="both"/>
      </w:pPr>
      <w:r>
        <w:t>8.3.3.4. O recebimento provisório ou definitivo não excluirá a responsabilidade civil pela solidez e pela segurança do serviço nem a responsabilidade ético-profissional pela perfeita execução do contrato.</w:t>
      </w:r>
    </w:p>
    <w:p w:rsidR="006F317B" w:rsidRDefault="006F317B" w:rsidP="00920632">
      <w:pPr>
        <w:spacing w:after="143" w:line="276" w:lineRule="auto"/>
        <w:jc w:val="both"/>
      </w:pPr>
      <w:r>
        <w:t xml:space="preserve"> </w:t>
      </w:r>
    </w:p>
    <w:p w:rsidR="006F317B" w:rsidRDefault="006F317B" w:rsidP="00920632">
      <w:pPr>
        <w:pStyle w:val="Ttulo1"/>
        <w:shd w:val="clear" w:color="auto" w:fill="EEECE1" w:themeFill="background2"/>
        <w:tabs>
          <w:tab w:val="right" w:pos="10724"/>
        </w:tabs>
        <w:spacing w:after="44" w:line="276" w:lineRule="auto"/>
        <w:ind w:left="-15" w:right="0" w:firstLine="0"/>
        <w:jc w:val="both"/>
      </w:pPr>
      <w:r>
        <w:t>9. CLÁUSULA NONA – DA FORMA E CRITÉRIOS DE SELEÇÃO DO FORNECEDOR MEDIANTE O USO DO SISTEM DISPENSA ELETRÔNICA</w:t>
      </w:r>
    </w:p>
    <w:p w:rsidR="006F317B" w:rsidRDefault="006F317B" w:rsidP="00920632">
      <w:pPr>
        <w:spacing w:line="276" w:lineRule="auto"/>
        <w:ind w:left="-5" w:right="193"/>
        <w:jc w:val="both"/>
      </w:pPr>
    </w:p>
    <w:p w:rsidR="006F317B" w:rsidRDefault="006F317B" w:rsidP="00920632">
      <w:pPr>
        <w:spacing w:line="276" w:lineRule="auto"/>
        <w:ind w:left="-5" w:right="193"/>
        <w:jc w:val="both"/>
      </w:pPr>
      <w:r>
        <w:lastRenderedPageBreak/>
        <w:t xml:space="preserve">9.1. O fornecedor será selecionado por meio da realização de procedimento de inexigibilidade de licitação, com fundamento na Lei nº 14.133, de 01 de abril de 2021, que regulamenta o ar </w:t>
      </w:r>
      <w:proofErr w:type="gramStart"/>
      <w:r>
        <w:t>go</w:t>
      </w:r>
      <w:proofErr w:type="gramEnd"/>
      <w:r>
        <w:t xml:space="preserve"> 37, inciso XXI, da Constituição Federal, e institui normas para licitações e contratos da Administração Pública e dá outras providências.</w:t>
      </w:r>
    </w:p>
    <w:p w:rsidR="006F317B" w:rsidRDefault="006F317B" w:rsidP="00920632">
      <w:pPr>
        <w:spacing w:after="0" w:line="276" w:lineRule="auto"/>
        <w:ind w:left="-5" w:right="193"/>
        <w:jc w:val="both"/>
        <w:rPr>
          <w:i/>
          <w:iCs/>
        </w:rPr>
      </w:pPr>
      <w:r>
        <w:t xml:space="preserve">9.2. O objeto em questão será contratado com fundamento no art. 74 da referida Lei: </w:t>
      </w:r>
      <w:r w:rsidRPr="00561575">
        <w:rPr>
          <w:i/>
          <w:iCs/>
        </w:rPr>
        <w:t>“I - aquisição de materiais, de equipamentos ou de gêneros ou contratação de serviços que</w:t>
      </w:r>
      <w:r w:rsidRPr="004470C7">
        <w:t xml:space="preserve"> </w:t>
      </w:r>
      <w:r w:rsidRPr="00561575">
        <w:rPr>
          <w:i/>
          <w:iCs/>
        </w:rPr>
        <w:t xml:space="preserve">só possam ser fornecidos por produtor, empresa ou </w:t>
      </w:r>
      <w:proofErr w:type="gramStart"/>
      <w:r w:rsidRPr="00561575">
        <w:rPr>
          <w:i/>
          <w:iCs/>
        </w:rPr>
        <w:t>representante comercial exclusivos</w:t>
      </w:r>
      <w:proofErr w:type="gramEnd"/>
      <w:r w:rsidRPr="00561575">
        <w:rPr>
          <w:i/>
          <w:iCs/>
        </w:rPr>
        <w:t>;”</w:t>
      </w:r>
    </w:p>
    <w:p w:rsidR="006F317B" w:rsidRPr="00561575" w:rsidRDefault="006F317B" w:rsidP="00920632">
      <w:pPr>
        <w:spacing w:after="0" w:line="276" w:lineRule="auto"/>
        <w:ind w:left="-5" w:right="193"/>
        <w:jc w:val="both"/>
        <w:rPr>
          <w:i/>
          <w:iCs/>
          <w:sz w:val="12"/>
          <w:szCs w:val="10"/>
        </w:rPr>
      </w:pPr>
    </w:p>
    <w:p w:rsidR="006F317B" w:rsidRDefault="006F317B" w:rsidP="00920632">
      <w:pPr>
        <w:spacing w:line="360" w:lineRule="auto"/>
        <w:ind w:left="-5" w:right="193"/>
        <w:jc w:val="both"/>
      </w:pPr>
      <w:r>
        <w:t xml:space="preserve">9.3. Após extensa pesquisa de espaços semelhantes a este, voltados para o bem-estar e gerenciamento da necessidade e do apoio aos usuários, </w:t>
      </w:r>
      <w:proofErr w:type="gramStart"/>
      <w:r>
        <w:t>a</w:t>
      </w:r>
      <w:proofErr w:type="gramEnd"/>
      <w:r>
        <w:t xml:space="preserve"> escolha pela empresa SERVIOESTE foi feita com base nas seguintes razões:</w:t>
      </w:r>
    </w:p>
    <w:p w:rsidR="006F317B" w:rsidRDefault="006F317B" w:rsidP="00920632">
      <w:pPr>
        <w:spacing w:line="276" w:lineRule="auto"/>
        <w:ind w:left="-5" w:right="193"/>
        <w:jc w:val="both"/>
      </w:pPr>
      <w:r>
        <w:t xml:space="preserve">9.3.1. A empresa realiza a Coleta, Transporte, Tratamento e Destinação final dos Resíduos de Serviços de Saúde dos Grupos “A”, “B” e “E” conforme RDC da </w:t>
      </w:r>
      <w:proofErr w:type="gramStart"/>
      <w:r>
        <w:t>Anvisa</w:t>
      </w:r>
      <w:proofErr w:type="gramEnd"/>
      <w:r>
        <w:t xml:space="preserve"> nº 222 de 28 de setembro de 2018. </w:t>
      </w:r>
    </w:p>
    <w:p w:rsidR="006F317B" w:rsidRDefault="006F317B" w:rsidP="00920632">
      <w:pPr>
        <w:spacing w:line="276" w:lineRule="auto"/>
        <w:ind w:left="-5" w:right="193"/>
        <w:jc w:val="both"/>
      </w:pPr>
      <w:r>
        <w:t xml:space="preserve">9.3.2. O Grupo </w:t>
      </w:r>
      <w:proofErr w:type="spellStart"/>
      <w:r>
        <w:t>Servioeste</w:t>
      </w:r>
      <w:proofErr w:type="spellEnd"/>
      <w:r>
        <w:t xml:space="preserve"> é Referência Nacional na prestação dos serviços de Coleta, Transporte, Tratamento e Destinação Final dos Resíduos de Serviços de Saúde.</w:t>
      </w:r>
    </w:p>
    <w:p w:rsidR="006F317B" w:rsidRDefault="006F317B" w:rsidP="00920632">
      <w:pPr>
        <w:spacing w:line="276" w:lineRule="auto"/>
        <w:ind w:left="-5" w:right="193"/>
        <w:jc w:val="both"/>
      </w:pPr>
      <w:r>
        <w:t xml:space="preserve">9.3.3. Atua nos Estados de Santa Catarina, Rio Grande do Sul, Paraná, São Paulo, Rio de Janeiro e Minas Gerais, com projetos de expansão nacional e internacional. </w:t>
      </w:r>
    </w:p>
    <w:p w:rsidR="006F317B" w:rsidRDefault="006F317B" w:rsidP="00920632">
      <w:pPr>
        <w:spacing w:line="276" w:lineRule="auto"/>
        <w:ind w:left="-5" w:right="193"/>
        <w:jc w:val="both"/>
      </w:pPr>
      <w:r>
        <w:t>9.3.4. A equipe técnica é composta por Engenheiros Químicos, Sanitaristas, Ambientais, Advogados Ambientalistas, Biólogos, Técnicos e Gestores Ambientais.</w:t>
      </w:r>
    </w:p>
    <w:p w:rsidR="006F317B" w:rsidRDefault="006F317B" w:rsidP="00920632">
      <w:pPr>
        <w:tabs>
          <w:tab w:val="left" w:pos="284"/>
        </w:tabs>
        <w:spacing w:line="276" w:lineRule="auto"/>
        <w:ind w:left="-5" w:right="19"/>
        <w:jc w:val="both"/>
      </w:pPr>
      <w:r>
        <w:t>9.5. Desta forma, há o interesse deste município, em realizar o descarte correto dos resíduos, visando não ocasionar impactos ambientais.</w:t>
      </w:r>
    </w:p>
    <w:p w:rsidR="006F317B" w:rsidRDefault="006F317B" w:rsidP="00920632">
      <w:pPr>
        <w:tabs>
          <w:tab w:val="left" w:pos="284"/>
          <w:tab w:val="center" w:pos="2045"/>
          <w:tab w:val="center" w:pos="2963"/>
          <w:tab w:val="center" w:pos="3787"/>
          <w:tab w:val="center" w:pos="4680"/>
          <w:tab w:val="center" w:pos="5492"/>
          <w:tab w:val="center" w:pos="6235"/>
          <w:tab w:val="center" w:pos="7240"/>
          <w:tab w:val="center" w:pos="8638"/>
          <w:tab w:val="center" w:pos="9391"/>
          <w:tab w:val="right" w:pos="9639"/>
        </w:tabs>
        <w:spacing w:after="12" w:line="276" w:lineRule="auto"/>
        <w:ind w:left="-5" w:right="19"/>
        <w:jc w:val="both"/>
      </w:pPr>
      <w:r>
        <w:t xml:space="preserve">9.6. Previamente </w:t>
      </w:r>
      <w:r>
        <w:tab/>
        <w:t xml:space="preserve">à celebração </w:t>
      </w:r>
      <w:r>
        <w:tab/>
        <w:t xml:space="preserve">do </w:t>
      </w:r>
      <w:r>
        <w:tab/>
        <w:t xml:space="preserve">contrato, </w:t>
      </w:r>
      <w:r>
        <w:tab/>
        <w:t xml:space="preserve">a </w:t>
      </w:r>
      <w:r>
        <w:tab/>
        <w:t xml:space="preserve">Administração </w:t>
      </w:r>
      <w:r>
        <w:tab/>
        <w:t xml:space="preserve">verificará o </w:t>
      </w:r>
      <w:r>
        <w:tab/>
        <w:t xml:space="preserve">eventual descumprimento das condições para contratação, especialmente quanto à existência de sanção que a </w:t>
      </w:r>
      <w:proofErr w:type="gramStart"/>
      <w:r>
        <w:t>impeça,</w:t>
      </w:r>
      <w:proofErr w:type="gramEnd"/>
      <w:r>
        <w:t xml:space="preserve"> mediante a consulta a cadastros informativos oficiais, tais como:</w:t>
      </w:r>
    </w:p>
    <w:p w:rsidR="006F317B" w:rsidRDefault="006F317B" w:rsidP="00920632">
      <w:pPr>
        <w:tabs>
          <w:tab w:val="left" w:pos="284"/>
          <w:tab w:val="center" w:pos="2045"/>
          <w:tab w:val="center" w:pos="2963"/>
          <w:tab w:val="center" w:pos="3787"/>
          <w:tab w:val="center" w:pos="4680"/>
          <w:tab w:val="center" w:pos="5492"/>
          <w:tab w:val="center" w:pos="6235"/>
          <w:tab w:val="center" w:pos="7240"/>
          <w:tab w:val="center" w:pos="8638"/>
          <w:tab w:val="center" w:pos="9391"/>
          <w:tab w:val="right" w:pos="10724"/>
        </w:tabs>
        <w:spacing w:after="12" w:line="276" w:lineRule="auto"/>
        <w:ind w:left="-5" w:right="19"/>
        <w:jc w:val="both"/>
      </w:pPr>
    </w:p>
    <w:p w:rsidR="006F317B" w:rsidRDefault="006F317B" w:rsidP="00920632">
      <w:pPr>
        <w:numPr>
          <w:ilvl w:val="0"/>
          <w:numId w:val="3"/>
        </w:numPr>
        <w:tabs>
          <w:tab w:val="left" w:pos="284"/>
        </w:tabs>
        <w:spacing w:after="122" w:line="276" w:lineRule="auto"/>
        <w:ind w:left="-5" w:right="100" w:hanging="10"/>
        <w:jc w:val="both"/>
      </w:pPr>
      <w:r>
        <w:t>SICAF;</w:t>
      </w:r>
    </w:p>
    <w:p w:rsidR="006F317B" w:rsidRDefault="006F317B" w:rsidP="00920632">
      <w:pPr>
        <w:numPr>
          <w:ilvl w:val="0"/>
          <w:numId w:val="3"/>
        </w:numPr>
        <w:tabs>
          <w:tab w:val="left" w:pos="284"/>
        </w:tabs>
        <w:spacing w:after="0" w:line="276" w:lineRule="auto"/>
        <w:ind w:left="-5" w:right="193" w:hanging="10"/>
        <w:jc w:val="both"/>
      </w:pPr>
      <w:r>
        <w:t>Cadastro Nacional de Empresas Inidôneas e Suspensas - CEIS, mantido pela Controladoria-Geral da União (www.portaldatransparencia.gov.br/</w:t>
      </w:r>
      <w:proofErr w:type="spellStart"/>
      <w:r>
        <w:t>ceis</w:t>
      </w:r>
      <w:proofErr w:type="spellEnd"/>
      <w:r>
        <w:t xml:space="preserve">); </w:t>
      </w:r>
      <w:proofErr w:type="gramStart"/>
      <w:r>
        <w:t>e</w:t>
      </w:r>
      <w:proofErr w:type="gramEnd"/>
    </w:p>
    <w:p w:rsidR="006F317B" w:rsidRDefault="006F317B" w:rsidP="00920632">
      <w:pPr>
        <w:numPr>
          <w:ilvl w:val="0"/>
          <w:numId w:val="3"/>
        </w:numPr>
        <w:tabs>
          <w:tab w:val="left" w:pos="284"/>
        </w:tabs>
        <w:spacing w:after="122" w:line="276" w:lineRule="auto"/>
        <w:ind w:left="-5" w:right="100" w:hanging="10"/>
        <w:jc w:val="both"/>
      </w:pPr>
      <w:r>
        <w:t>Cadastro Nacional de Empresas Punidas – CNEP, mantido pela Controladoria-Geral da União (</w:t>
      </w:r>
      <w:proofErr w:type="gramStart"/>
      <w:r>
        <w:t>https</w:t>
      </w:r>
      <w:proofErr w:type="gramEnd"/>
      <w:r>
        <w:t>://www.portaltransparencia.gov.br/sancoes/cnep);</w:t>
      </w:r>
    </w:p>
    <w:p w:rsidR="006F317B" w:rsidRDefault="006F317B" w:rsidP="00920632">
      <w:pPr>
        <w:numPr>
          <w:ilvl w:val="1"/>
          <w:numId w:val="6"/>
        </w:numPr>
        <w:tabs>
          <w:tab w:val="left" w:pos="284"/>
        </w:tabs>
        <w:spacing w:after="122" w:line="276" w:lineRule="auto"/>
        <w:ind w:left="-5" w:right="193" w:hanging="10"/>
        <w:jc w:val="both"/>
      </w:pPr>
      <w:r>
        <w:t xml:space="preserve">A consulta aos cadastros será realizada em nome da empresa fornecedora e de seu sócio majoritário, por força do artigo 12 da Lei n° 8.429, de 1992, que prevê, dentre as sanções impostas ao responsável pela prática de ato de improbidade administrativa, a </w:t>
      </w:r>
      <w:r>
        <w:lastRenderedPageBreak/>
        <w:t>proibição de contratar com o Poder Público, inclusive por intermédio de pessoa jurídica da qual seja sócio majoritário.</w:t>
      </w:r>
    </w:p>
    <w:p w:rsidR="006F317B" w:rsidRDefault="006F317B" w:rsidP="00920632">
      <w:pPr>
        <w:numPr>
          <w:ilvl w:val="1"/>
          <w:numId w:val="6"/>
        </w:numPr>
        <w:tabs>
          <w:tab w:val="left" w:pos="284"/>
        </w:tabs>
        <w:spacing w:after="122" w:line="276" w:lineRule="auto"/>
        <w:ind w:left="-5" w:right="193" w:hanging="10"/>
        <w:jc w:val="both"/>
      </w:pPr>
      <w:r>
        <w:t>Caso conste na Consulta de Situação do Fornecedor a existência de Ocorrências Impeditivas Indiretas, o gestor diligenciará para verificar se houve fraude por parte das empresas apontadas no Relatório de Ocorrências Impeditivas Indiretas.</w:t>
      </w:r>
    </w:p>
    <w:p w:rsidR="006F317B" w:rsidRDefault="006F317B" w:rsidP="00920632">
      <w:pPr>
        <w:numPr>
          <w:ilvl w:val="1"/>
          <w:numId w:val="6"/>
        </w:numPr>
        <w:tabs>
          <w:tab w:val="left" w:pos="284"/>
        </w:tabs>
        <w:spacing w:after="122" w:line="276" w:lineRule="auto"/>
        <w:ind w:left="-5" w:right="193" w:hanging="10"/>
        <w:jc w:val="both"/>
      </w:pPr>
      <w:r>
        <w:t>A tentativa de burla será verificada por meio dos vínculos societários, linhas de fornecimento similares, dentre outros.</w:t>
      </w:r>
    </w:p>
    <w:p w:rsidR="006F317B" w:rsidRDefault="006F317B" w:rsidP="00920632">
      <w:pPr>
        <w:numPr>
          <w:ilvl w:val="1"/>
          <w:numId w:val="6"/>
        </w:numPr>
        <w:tabs>
          <w:tab w:val="left" w:pos="284"/>
        </w:tabs>
        <w:spacing w:after="122" w:line="276" w:lineRule="auto"/>
        <w:ind w:left="-5" w:right="193" w:hanging="10"/>
        <w:jc w:val="both"/>
      </w:pPr>
      <w:r>
        <w:t>O fornecedor será convocado para manifestação previamente a uma eventual negativa de contratação.</w:t>
      </w:r>
    </w:p>
    <w:p w:rsidR="006F317B" w:rsidRDefault="006F317B" w:rsidP="00920632">
      <w:pPr>
        <w:numPr>
          <w:ilvl w:val="1"/>
          <w:numId w:val="6"/>
        </w:numPr>
        <w:tabs>
          <w:tab w:val="left" w:pos="284"/>
        </w:tabs>
        <w:spacing w:after="122" w:line="276" w:lineRule="auto"/>
        <w:ind w:left="-5" w:right="193" w:hanging="10"/>
        <w:jc w:val="both"/>
      </w:pPr>
      <w:r>
        <w:t>Caso atendidas as condições para contratação, a habilitação do fornecedor será verificada por meio do SICAF, nos documentos por ele abrangidos.</w:t>
      </w:r>
    </w:p>
    <w:p w:rsidR="006F317B" w:rsidRDefault="006F317B" w:rsidP="00920632">
      <w:pPr>
        <w:numPr>
          <w:ilvl w:val="1"/>
          <w:numId w:val="6"/>
        </w:numPr>
        <w:tabs>
          <w:tab w:val="left" w:pos="284"/>
        </w:tabs>
        <w:spacing w:after="122" w:line="276" w:lineRule="auto"/>
        <w:ind w:left="-5" w:right="193" w:hanging="10"/>
        <w:jc w:val="both"/>
      </w:pPr>
      <w:r>
        <w:t xml:space="preserve">É dever </w:t>
      </w:r>
      <w:proofErr w:type="gramStart"/>
      <w:r>
        <w:t>do fornecedor manter</w:t>
      </w:r>
      <w:proofErr w:type="gramEnd"/>
      <w:r>
        <w:t xml:space="preserve"> atualizada a respectiva documentação constante do SICAF, ou encaminhar, quando solicitado pela Administração, a respectiva documentação atualizada.</w:t>
      </w:r>
    </w:p>
    <w:p w:rsidR="006F317B" w:rsidRDefault="006F317B" w:rsidP="00920632">
      <w:pPr>
        <w:numPr>
          <w:ilvl w:val="1"/>
          <w:numId w:val="6"/>
        </w:numPr>
        <w:tabs>
          <w:tab w:val="left" w:pos="284"/>
        </w:tabs>
        <w:spacing w:after="122" w:line="276" w:lineRule="auto"/>
        <w:ind w:left="-5" w:right="193" w:hanging="10"/>
        <w:jc w:val="both"/>
      </w:pPr>
      <w:r>
        <w:t xml:space="preserve">Não serão aceitos documentos de habilitação com indicação de CNPJ/CPF diferentes, salvo aqueles legalmente permitidos. </w:t>
      </w:r>
    </w:p>
    <w:p w:rsidR="006F317B" w:rsidRDefault="006F317B" w:rsidP="00920632">
      <w:pPr>
        <w:numPr>
          <w:ilvl w:val="1"/>
          <w:numId w:val="6"/>
        </w:numPr>
        <w:tabs>
          <w:tab w:val="left" w:pos="284"/>
        </w:tabs>
        <w:spacing w:after="122" w:line="276" w:lineRule="auto"/>
        <w:ind w:left="-5" w:right="193" w:hanging="10"/>
        <w:jc w:val="both"/>
      </w:pPr>
      <w:r>
        <w:t>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rsidR="006F317B" w:rsidRDefault="006F317B" w:rsidP="00920632">
      <w:pPr>
        <w:numPr>
          <w:ilvl w:val="1"/>
          <w:numId w:val="6"/>
        </w:numPr>
        <w:tabs>
          <w:tab w:val="left" w:pos="284"/>
        </w:tabs>
        <w:spacing w:after="122" w:line="276" w:lineRule="auto"/>
        <w:ind w:left="-5" w:right="193" w:hanging="10"/>
        <w:jc w:val="both"/>
      </w:pPr>
      <w:r>
        <w:t xml:space="preserve">Serão aceitos registros de CNPJ de fornecedor matriz e filial com diferenças de números de documentos per </w:t>
      </w:r>
      <w:proofErr w:type="spellStart"/>
      <w:r>
        <w:t>nentes</w:t>
      </w:r>
      <w:proofErr w:type="spellEnd"/>
      <w:r>
        <w:t xml:space="preserve"> ao CND e ao CRF/FGTS, quando for comprovada a centralização do recolhimento dessas contribuições.</w:t>
      </w:r>
    </w:p>
    <w:p w:rsidR="006F317B" w:rsidRDefault="006F317B" w:rsidP="00920632">
      <w:pPr>
        <w:numPr>
          <w:ilvl w:val="1"/>
          <w:numId w:val="6"/>
        </w:numPr>
        <w:tabs>
          <w:tab w:val="left" w:pos="284"/>
        </w:tabs>
        <w:spacing w:after="122" w:line="276" w:lineRule="auto"/>
        <w:ind w:left="-5" w:right="193" w:hanging="10"/>
        <w:jc w:val="both"/>
      </w:pPr>
      <w:r w:rsidRPr="00D83AEA">
        <w:t>Para fins de contratação, deverá o fornecedor comprovar os seguintes requisitos de habilitação:</w:t>
      </w:r>
    </w:p>
    <w:p w:rsidR="006F317B" w:rsidRPr="0015404B" w:rsidRDefault="006F317B" w:rsidP="00920632">
      <w:pPr>
        <w:pStyle w:val="Nivel2"/>
        <w:spacing w:before="0" w:after="0" w:line="240" w:lineRule="auto"/>
        <w:ind w:left="1224" w:right="283"/>
        <w:rPr>
          <w:color w:val="auto"/>
        </w:rPr>
      </w:pPr>
      <w:r w:rsidRPr="0015404B">
        <w:rPr>
          <w:color w:val="auto"/>
        </w:rPr>
        <w:t>Certidão Negativa Federal, ou certidão positiva com efeito de negativa;</w:t>
      </w:r>
    </w:p>
    <w:p w:rsidR="006F317B" w:rsidRPr="0015404B" w:rsidRDefault="006F317B" w:rsidP="00920632">
      <w:pPr>
        <w:pStyle w:val="Nivel2"/>
        <w:spacing w:before="0" w:after="0" w:line="240" w:lineRule="auto"/>
        <w:ind w:left="1224" w:right="283"/>
        <w:rPr>
          <w:color w:val="auto"/>
        </w:rPr>
      </w:pPr>
      <w:r w:rsidRPr="0015404B">
        <w:rPr>
          <w:color w:val="auto"/>
        </w:rPr>
        <w:t>Certidão Negativa Estadual;</w:t>
      </w:r>
    </w:p>
    <w:p w:rsidR="006F317B" w:rsidRPr="0015404B" w:rsidRDefault="006F317B" w:rsidP="00920632">
      <w:pPr>
        <w:pStyle w:val="Nivel2"/>
        <w:spacing w:before="0" w:after="0" w:line="240" w:lineRule="auto"/>
        <w:ind w:left="1224" w:right="283"/>
        <w:rPr>
          <w:color w:val="auto"/>
        </w:rPr>
      </w:pPr>
      <w:r w:rsidRPr="0015404B">
        <w:rPr>
          <w:color w:val="auto"/>
        </w:rPr>
        <w:t>Certidão Negativa Municipal;</w:t>
      </w:r>
    </w:p>
    <w:p w:rsidR="006F317B" w:rsidRPr="0015404B" w:rsidRDefault="006F317B" w:rsidP="00920632">
      <w:pPr>
        <w:pStyle w:val="Nivel2"/>
        <w:spacing w:before="0" w:after="0" w:line="240" w:lineRule="auto"/>
        <w:ind w:left="1224" w:right="283"/>
        <w:rPr>
          <w:color w:val="auto"/>
        </w:rPr>
      </w:pPr>
      <w:r w:rsidRPr="0015404B">
        <w:rPr>
          <w:color w:val="auto"/>
        </w:rPr>
        <w:t>Certidão Negativa do FGTS;</w:t>
      </w:r>
    </w:p>
    <w:p w:rsidR="006F317B" w:rsidRPr="0015404B" w:rsidRDefault="006F317B" w:rsidP="00920632">
      <w:pPr>
        <w:pStyle w:val="Nivel2"/>
        <w:spacing w:before="0" w:after="0" w:line="240" w:lineRule="auto"/>
        <w:ind w:left="1224" w:right="283"/>
        <w:rPr>
          <w:color w:val="auto"/>
        </w:rPr>
      </w:pPr>
      <w:r w:rsidRPr="0015404B">
        <w:rPr>
          <w:color w:val="auto"/>
        </w:rPr>
        <w:t>Certidão Negativa Trabalhista;</w:t>
      </w:r>
    </w:p>
    <w:p w:rsidR="006F317B" w:rsidRPr="0015404B" w:rsidRDefault="006F317B" w:rsidP="00920632">
      <w:pPr>
        <w:pStyle w:val="Nivel2"/>
        <w:spacing w:before="0" w:after="0" w:line="240" w:lineRule="auto"/>
        <w:ind w:left="1224" w:right="283"/>
        <w:rPr>
          <w:color w:val="auto"/>
        </w:rPr>
      </w:pPr>
      <w:r w:rsidRPr="0015404B">
        <w:rPr>
          <w:color w:val="auto"/>
        </w:rPr>
        <w:t>Atestado e/ou contratos de execução/realização de Processo Seletivo;</w:t>
      </w:r>
    </w:p>
    <w:p w:rsidR="006F317B" w:rsidRPr="00D83AEA" w:rsidRDefault="006F317B" w:rsidP="00920632">
      <w:pPr>
        <w:tabs>
          <w:tab w:val="left" w:pos="284"/>
        </w:tabs>
        <w:spacing w:after="0" w:line="276" w:lineRule="auto"/>
        <w:ind w:left="-5" w:right="193"/>
        <w:jc w:val="both"/>
      </w:pPr>
    </w:p>
    <w:p w:rsidR="006F317B" w:rsidRPr="00D83AEA" w:rsidRDefault="006F317B" w:rsidP="00920632">
      <w:pPr>
        <w:numPr>
          <w:ilvl w:val="1"/>
          <w:numId w:val="6"/>
        </w:numPr>
        <w:shd w:val="clear" w:color="auto" w:fill="EEECE1" w:themeFill="background2"/>
        <w:tabs>
          <w:tab w:val="left" w:pos="284"/>
        </w:tabs>
        <w:spacing w:after="107" w:line="276" w:lineRule="auto"/>
        <w:ind w:left="-5" w:right="193" w:hanging="10"/>
        <w:jc w:val="both"/>
        <w:rPr>
          <w:b/>
        </w:rPr>
      </w:pPr>
      <w:r w:rsidRPr="00D83AEA">
        <w:rPr>
          <w:b/>
        </w:rPr>
        <w:t>Habilitação Jurídica:</w:t>
      </w:r>
    </w:p>
    <w:p w:rsidR="006F317B" w:rsidRDefault="006F317B" w:rsidP="00920632">
      <w:pPr>
        <w:numPr>
          <w:ilvl w:val="2"/>
          <w:numId w:val="7"/>
        </w:numPr>
        <w:tabs>
          <w:tab w:val="left" w:pos="284"/>
        </w:tabs>
        <w:spacing w:after="122" w:line="276" w:lineRule="auto"/>
        <w:ind w:left="-5" w:right="193" w:hanging="10"/>
        <w:jc w:val="both"/>
      </w:pPr>
      <w:r>
        <w:t xml:space="preserve">Sociedade empresária, sociedade limitada unipessoal – SLU ou sociedade identificada como empresa individual de responsabilidade limitada - EIRELI: inscrição do ato </w:t>
      </w:r>
      <w:r>
        <w:lastRenderedPageBreak/>
        <w:t xml:space="preserve">consecutivo, estatuto ou contrato social no Registro Público de Empresas Mercantis, a cargo da Junta Comercial da respectiva sede, acompanhada de documento comprobatório de seus administradores; </w:t>
      </w:r>
    </w:p>
    <w:p w:rsidR="006F317B" w:rsidRDefault="006F317B" w:rsidP="00920632">
      <w:pPr>
        <w:numPr>
          <w:ilvl w:val="2"/>
          <w:numId w:val="7"/>
        </w:numPr>
        <w:tabs>
          <w:tab w:val="left" w:pos="284"/>
        </w:tabs>
        <w:spacing w:after="122" w:line="276" w:lineRule="auto"/>
        <w:ind w:left="-5" w:right="193" w:hanging="10"/>
        <w:jc w:val="both"/>
      </w:pPr>
      <w:r>
        <w:t>Os documentos apresentados deverão estar acompanhados de todas as alterações ou da consolidação respectiva.</w:t>
      </w:r>
    </w:p>
    <w:p w:rsidR="006F317B" w:rsidRPr="0050797B" w:rsidRDefault="006F317B" w:rsidP="00920632">
      <w:pPr>
        <w:pStyle w:val="PargrafodaLista"/>
        <w:numPr>
          <w:ilvl w:val="1"/>
          <w:numId w:val="6"/>
        </w:numPr>
        <w:shd w:val="clear" w:color="auto" w:fill="EEECE1" w:themeFill="background2"/>
        <w:tabs>
          <w:tab w:val="center" w:pos="0"/>
          <w:tab w:val="left" w:pos="284"/>
        </w:tabs>
        <w:spacing w:after="107" w:line="276" w:lineRule="auto"/>
        <w:ind w:left="-5" w:right="0"/>
        <w:rPr>
          <w:b/>
          <w:bCs/>
        </w:rPr>
      </w:pPr>
      <w:r w:rsidRPr="0050797B">
        <w:rPr>
          <w:b/>
          <w:bCs/>
        </w:rPr>
        <w:t>Habilitações fiscal, social e trabalhista:</w:t>
      </w:r>
    </w:p>
    <w:p w:rsidR="006F317B" w:rsidRDefault="006F317B" w:rsidP="00920632">
      <w:pPr>
        <w:numPr>
          <w:ilvl w:val="2"/>
          <w:numId w:val="5"/>
        </w:numPr>
        <w:spacing w:after="122" w:line="276" w:lineRule="auto"/>
        <w:ind w:left="-5" w:right="193" w:hanging="10"/>
        <w:jc w:val="both"/>
      </w:pPr>
      <w:proofErr w:type="gramStart"/>
      <w:r>
        <w:t>prova</w:t>
      </w:r>
      <w:proofErr w:type="gramEnd"/>
      <w:r>
        <w:t xml:space="preserve"> de inscrição no Cadastro Nacional da Pessoa Jurídica (CNPJ);</w:t>
      </w:r>
    </w:p>
    <w:p w:rsidR="006F317B" w:rsidRDefault="006F317B" w:rsidP="00920632">
      <w:pPr>
        <w:numPr>
          <w:ilvl w:val="2"/>
          <w:numId w:val="5"/>
        </w:numPr>
        <w:spacing w:after="122" w:line="276" w:lineRule="auto"/>
        <w:ind w:left="-5" w:right="193" w:hanging="10"/>
        <w:jc w:val="both"/>
      </w:pPr>
      <w:proofErr w:type="gramStart"/>
      <w:r>
        <w:t>prova</w:t>
      </w:r>
      <w:proofErr w:type="gramEnd"/>
      <w: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 vos à Seguridade Social, nos termos da Portaria Conjunta nº 1.751, de 02/10/2014, do Secretário da Receita Federal do Brasil e da Procuradora-Geral da Fazenda Nacional.</w:t>
      </w:r>
    </w:p>
    <w:p w:rsidR="006F317B" w:rsidRDefault="006F317B" w:rsidP="00920632">
      <w:pPr>
        <w:numPr>
          <w:ilvl w:val="2"/>
          <w:numId w:val="5"/>
        </w:numPr>
        <w:spacing w:after="122" w:line="276" w:lineRule="auto"/>
        <w:ind w:left="-5" w:right="193" w:hanging="10"/>
        <w:jc w:val="both"/>
      </w:pPr>
      <w:proofErr w:type="gramStart"/>
      <w:r>
        <w:t>prova</w:t>
      </w:r>
      <w:proofErr w:type="gramEnd"/>
      <w:r>
        <w:t xml:space="preserve"> de regularidade com o Fundo de Garantia do Tempo de Serviço (FGTS);</w:t>
      </w:r>
    </w:p>
    <w:p w:rsidR="006F317B" w:rsidRDefault="006F317B" w:rsidP="00920632">
      <w:pPr>
        <w:numPr>
          <w:ilvl w:val="2"/>
          <w:numId w:val="5"/>
        </w:numPr>
        <w:spacing w:after="122" w:line="276" w:lineRule="auto"/>
        <w:ind w:left="-5" w:right="193" w:hanging="10"/>
        <w:jc w:val="both"/>
      </w:pPr>
      <w:proofErr w:type="gramStart"/>
      <w:r>
        <w:t>declaração</w:t>
      </w:r>
      <w:proofErr w:type="gramEnd"/>
      <w:r>
        <w:t xml:space="preserve"> de que não emprega menor de 18 anos em trabalho noturno, perigoso ou insalubre e não emprega menor de 16 anos, salvo menor, a par r de 14 anos, na condição de aprendiz, nos termos do artigo 7°, XXXIII, da Constituição;</w:t>
      </w:r>
    </w:p>
    <w:p w:rsidR="006F317B" w:rsidRDefault="006F317B" w:rsidP="00920632">
      <w:pPr>
        <w:numPr>
          <w:ilvl w:val="2"/>
          <w:numId w:val="5"/>
        </w:numPr>
        <w:spacing w:after="122" w:line="276" w:lineRule="auto"/>
        <w:ind w:left="-5" w:right="193" w:hanging="10"/>
        <w:jc w:val="both"/>
      </w:pPr>
      <w:proofErr w:type="gramStart"/>
      <w:r>
        <w:t>prova</w:t>
      </w:r>
      <w:proofErr w:type="gramEnd"/>
      <w:r>
        <w:t xml:space="preserve"> de inexistência de débitos inadimplidos perante a Justiça do Trabalho, mediante a apresentação de certidão negativa ou positiva com efeito de negativa, nos termos do Título VII-A da Consolidação das Leis do Trabalho, aprovada pelo Decreto-Lei nº 5.452, de 1º de maio de 1943. </w:t>
      </w:r>
    </w:p>
    <w:p w:rsidR="006F317B" w:rsidRDefault="006F317B" w:rsidP="00920632">
      <w:pPr>
        <w:numPr>
          <w:ilvl w:val="2"/>
          <w:numId w:val="5"/>
        </w:numPr>
        <w:spacing w:after="122" w:line="276" w:lineRule="auto"/>
        <w:ind w:left="-5" w:right="193" w:hanging="10"/>
        <w:jc w:val="both"/>
      </w:pPr>
      <w:proofErr w:type="gramStart"/>
      <w:r>
        <w:t>prova</w:t>
      </w:r>
      <w:proofErr w:type="gramEnd"/>
      <w:r>
        <w:t xml:space="preserve"> de inscrição no cadastro de contribuintes municipal, se houver, relativo ao domicílio ou sede do fornecedor, pertinente ao seu ramo de atividade e compatível com o objeto contratual;</w:t>
      </w:r>
    </w:p>
    <w:p w:rsidR="006F317B" w:rsidRDefault="006F317B" w:rsidP="00920632">
      <w:pPr>
        <w:spacing w:line="276" w:lineRule="auto"/>
        <w:ind w:left="-5" w:right="193"/>
        <w:jc w:val="both"/>
      </w:pPr>
      <w:r>
        <w:t>9.18.6.1. O fornecedor enquadrado como microempreendedor individual que pretenda auferir os benefícios do tratamento diferenciado previstos na Lei Complementar n. 123, de 2006, estará dispensado da prova de inscrição nos cadastros de contribuintes estadual e municipal.</w:t>
      </w:r>
    </w:p>
    <w:p w:rsidR="006F317B" w:rsidRDefault="006F317B" w:rsidP="00920632">
      <w:pPr>
        <w:numPr>
          <w:ilvl w:val="2"/>
          <w:numId w:val="4"/>
        </w:numPr>
        <w:spacing w:after="122" w:line="276" w:lineRule="auto"/>
        <w:ind w:left="-5" w:right="193" w:hanging="10"/>
        <w:jc w:val="both"/>
      </w:pPr>
      <w:r>
        <w:t>Prova de regularidade com a Fazenda Municipal ou Distrital do domicílio ou sede do fornecedor, relativa à atividade em cujo exercício contrata ou concorre;</w:t>
      </w:r>
    </w:p>
    <w:p w:rsidR="006F317B" w:rsidRDefault="006F317B" w:rsidP="00920632">
      <w:pPr>
        <w:numPr>
          <w:ilvl w:val="2"/>
          <w:numId w:val="4"/>
        </w:numPr>
        <w:spacing w:after="0" w:line="240" w:lineRule="auto"/>
        <w:ind w:left="-5" w:right="193" w:hanging="10"/>
        <w:jc w:val="both"/>
      </w:pPr>
      <w:r>
        <w:t>Caso o fornecedor seja considerado isento dos tributos municipais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6F317B" w:rsidRDefault="006F317B" w:rsidP="00920632">
      <w:pPr>
        <w:spacing w:after="0" w:line="240" w:lineRule="auto"/>
        <w:ind w:left="-5" w:right="193"/>
        <w:jc w:val="both"/>
      </w:pPr>
    </w:p>
    <w:p w:rsidR="006F317B" w:rsidRPr="0050797B" w:rsidRDefault="006F317B" w:rsidP="00920632">
      <w:pPr>
        <w:shd w:val="clear" w:color="auto" w:fill="EEECE1" w:themeFill="background2"/>
        <w:spacing w:after="0" w:line="240" w:lineRule="auto"/>
        <w:jc w:val="both"/>
        <w:rPr>
          <w:b/>
          <w:bCs/>
        </w:rPr>
      </w:pPr>
      <w:proofErr w:type="gramStart"/>
      <w:r w:rsidRPr="0050797B">
        <w:rPr>
          <w:b/>
          <w:bCs/>
        </w:rPr>
        <w:t>10.</w:t>
      </w:r>
      <w:proofErr w:type="gramEnd"/>
      <w:r>
        <w:rPr>
          <w:b/>
          <w:bCs/>
        </w:rPr>
        <w:t>CLÁUSULA DÉCIMA – DA</w:t>
      </w:r>
      <w:r w:rsidRPr="0050797B">
        <w:rPr>
          <w:b/>
          <w:bCs/>
        </w:rPr>
        <w:t xml:space="preserve"> ADEQUAÇÃO ORÇAMENTÁRIA</w:t>
      </w:r>
    </w:p>
    <w:p w:rsidR="006F317B" w:rsidRDefault="006F317B" w:rsidP="00920632">
      <w:pPr>
        <w:spacing w:after="0" w:line="240" w:lineRule="auto"/>
        <w:ind w:left="-5" w:right="193"/>
        <w:jc w:val="both"/>
      </w:pPr>
      <w:r>
        <w:lastRenderedPageBreak/>
        <w:t xml:space="preserve">10.1. As despesas decorrentes </w:t>
      </w:r>
      <w:proofErr w:type="gramStart"/>
      <w:r>
        <w:t>da presente</w:t>
      </w:r>
      <w:proofErr w:type="gramEnd"/>
      <w:r>
        <w:t xml:space="preserve"> contratação correrão à conta de recursos e/ou dotação orçamentária do Exercício de 2024 do Município de Lajeado do Bugre/RS.</w:t>
      </w:r>
    </w:p>
    <w:p w:rsidR="006F317B" w:rsidRDefault="006F317B" w:rsidP="00920632">
      <w:pPr>
        <w:spacing w:after="0" w:line="240" w:lineRule="auto"/>
        <w:ind w:left="-5" w:right="193"/>
        <w:jc w:val="both"/>
      </w:pPr>
    </w:p>
    <w:p w:rsidR="006F317B" w:rsidRPr="005445E5" w:rsidRDefault="006F317B" w:rsidP="00920632">
      <w:pPr>
        <w:shd w:val="clear" w:color="auto" w:fill="EEECE1" w:themeFill="background2"/>
        <w:spacing w:after="0" w:line="276" w:lineRule="auto"/>
        <w:ind w:left="-5" w:right="19"/>
        <w:jc w:val="both"/>
        <w:rPr>
          <w:b/>
          <w:bCs/>
        </w:rPr>
      </w:pPr>
      <w:r w:rsidRPr="005445E5">
        <w:rPr>
          <w:b/>
          <w:bCs/>
        </w:rPr>
        <w:t xml:space="preserve">11. </w:t>
      </w:r>
      <w:r>
        <w:rPr>
          <w:b/>
          <w:bCs/>
        </w:rPr>
        <w:t xml:space="preserve">CLÁUSULA DÉCIMA PRIMEIRA - </w:t>
      </w:r>
      <w:r w:rsidRPr="005445E5">
        <w:rPr>
          <w:b/>
          <w:bCs/>
        </w:rPr>
        <w:t>DO FORO</w:t>
      </w:r>
    </w:p>
    <w:p w:rsidR="006F317B" w:rsidRDefault="006F317B" w:rsidP="00920632">
      <w:pPr>
        <w:spacing w:after="224" w:line="259" w:lineRule="auto"/>
        <w:jc w:val="both"/>
      </w:pPr>
      <w:r>
        <w:t xml:space="preserve">11.1 O Foro competente para dirimir quaisquer dúvidas decorrentes </w:t>
      </w:r>
      <w:proofErr w:type="gramStart"/>
      <w:r>
        <w:t>da presente</w:t>
      </w:r>
      <w:proofErr w:type="gramEnd"/>
      <w:r>
        <w:t xml:space="preserve"> contratação será o Fórum da Comarca de Palmeira das Missões/RS.</w:t>
      </w:r>
    </w:p>
    <w:p w:rsidR="006F317B" w:rsidRPr="000E0889" w:rsidRDefault="006F317B" w:rsidP="000E0889">
      <w:pPr>
        <w:spacing w:after="204" w:line="259" w:lineRule="auto"/>
        <w:rPr>
          <w:rFonts w:asciiTheme="minorHAnsi" w:hAnsiTheme="minorHAnsi" w:cstheme="minorHAnsi"/>
          <w:b/>
          <w:bCs/>
        </w:rPr>
      </w:pPr>
    </w:p>
    <w:p w:rsidR="006F317B" w:rsidRDefault="006F317B" w:rsidP="006F317B">
      <w:pPr>
        <w:spacing w:after="92" w:line="259" w:lineRule="auto"/>
        <w:ind w:left="1416"/>
      </w:pPr>
    </w:p>
    <w:p w:rsidR="006F317B" w:rsidRDefault="006F317B" w:rsidP="006F317B">
      <w:pPr>
        <w:jc w:val="center"/>
        <w:rPr>
          <w:b/>
          <w:sz w:val="24"/>
          <w:szCs w:val="24"/>
        </w:rPr>
      </w:pPr>
      <w:r w:rsidRPr="00592CFE">
        <w:rPr>
          <w:b/>
          <w:sz w:val="24"/>
          <w:szCs w:val="24"/>
        </w:rPr>
        <w:t>La</w:t>
      </w:r>
      <w:r w:rsidR="000E0889">
        <w:rPr>
          <w:b/>
          <w:sz w:val="24"/>
          <w:szCs w:val="24"/>
        </w:rPr>
        <w:t xml:space="preserve">jeado do Bugre – RS, 17 </w:t>
      </w:r>
      <w:r>
        <w:rPr>
          <w:b/>
          <w:sz w:val="24"/>
          <w:szCs w:val="24"/>
        </w:rPr>
        <w:t>de Junho</w:t>
      </w:r>
      <w:r w:rsidRPr="00592CFE">
        <w:rPr>
          <w:b/>
          <w:sz w:val="24"/>
          <w:szCs w:val="24"/>
        </w:rPr>
        <w:t xml:space="preserve"> de 2024.</w:t>
      </w:r>
    </w:p>
    <w:p w:rsidR="006F317B" w:rsidRDefault="006F317B" w:rsidP="006F317B">
      <w:pPr>
        <w:jc w:val="both"/>
        <w:rPr>
          <w:b/>
          <w:sz w:val="24"/>
          <w:szCs w:val="24"/>
        </w:rPr>
      </w:pPr>
    </w:p>
    <w:p w:rsidR="006F317B" w:rsidRDefault="006F317B" w:rsidP="006F317B">
      <w:pPr>
        <w:jc w:val="both"/>
        <w:rPr>
          <w:b/>
          <w:sz w:val="24"/>
          <w:szCs w:val="24"/>
        </w:rPr>
      </w:pPr>
    </w:p>
    <w:p w:rsidR="006F317B" w:rsidRDefault="006F317B" w:rsidP="006F317B">
      <w:pPr>
        <w:spacing w:after="0"/>
        <w:jc w:val="both"/>
        <w:rPr>
          <w:b/>
          <w:sz w:val="24"/>
          <w:szCs w:val="24"/>
        </w:rPr>
      </w:pPr>
      <w:r>
        <w:rPr>
          <w:b/>
          <w:sz w:val="24"/>
          <w:szCs w:val="24"/>
        </w:rPr>
        <w:t>________________________                              ______________________</w:t>
      </w:r>
    </w:p>
    <w:p w:rsidR="006F317B" w:rsidRPr="00482B38" w:rsidRDefault="006F317B" w:rsidP="006F317B">
      <w:pPr>
        <w:spacing w:after="0"/>
        <w:jc w:val="both"/>
        <w:rPr>
          <w:i/>
          <w:sz w:val="24"/>
          <w:szCs w:val="24"/>
        </w:rPr>
      </w:pPr>
      <w:r w:rsidRPr="00482B38">
        <w:rPr>
          <w:i/>
          <w:sz w:val="24"/>
          <w:szCs w:val="24"/>
        </w:rPr>
        <w:t>CONTRATANTE                                                        CONTRATADA</w:t>
      </w:r>
    </w:p>
    <w:p w:rsidR="006F317B" w:rsidRPr="00482B38" w:rsidRDefault="006F317B" w:rsidP="004C3323">
      <w:pPr>
        <w:spacing w:after="0"/>
        <w:ind w:left="4536" w:hanging="4536"/>
        <w:jc w:val="both"/>
        <w:rPr>
          <w:b/>
          <w:sz w:val="24"/>
          <w:szCs w:val="24"/>
        </w:rPr>
      </w:pPr>
      <w:bookmarkStart w:id="0" w:name="_GoBack"/>
      <w:bookmarkEnd w:id="0"/>
      <w:r w:rsidRPr="00482B38">
        <w:rPr>
          <w:b/>
          <w:sz w:val="24"/>
          <w:szCs w:val="24"/>
        </w:rPr>
        <w:t>RONALDO MACHADO DA SILVA</w:t>
      </w:r>
      <w:r w:rsidR="00866B1F">
        <w:rPr>
          <w:b/>
          <w:sz w:val="24"/>
          <w:szCs w:val="24"/>
        </w:rPr>
        <w:t xml:space="preserve">                          CRISTIAN PAULO KEHL </w:t>
      </w:r>
      <w:r w:rsidR="004C3323">
        <w:rPr>
          <w:b/>
          <w:sz w:val="24"/>
          <w:szCs w:val="24"/>
        </w:rPr>
        <w:t>BALBINOT</w:t>
      </w:r>
      <w:r w:rsidRPr="00482B38">
        <w:rPr>
          <w:b/>
          <w:sz w:val="24"/>
          <w:szCs w:val="24"/>
        </w:rPr>
        <w:tab/>
        <w:t xml:space="preserve">                 </w:t>
      </w:r>
      <w:r w:rsidR="004C3323">
        <w:rPr>
          <w:b/>
          <w:sz w:val="24"/>
          <w:szCs w:val="24"/>
        </w:rPr>
        <w:t xml:space="preserve">                     </w:t>
      </w:r>
      <w:r w:rsidR="000E0889">
        <w:rPr>
          <w:b/>
          <w:sz w:val="24"/>
          <w:szCs w:val="24"/>
        </w:rPr>
        <w:t>SERVIOESTE SOLUÇÕES</w:t>
      </w:r>
    </w:p>
    <w:p w:rsidR="006F317B" w:rsidRDefault="006F317B" w:rsidP="006F317B">
      <w:pPr>
        <w:jc w:val="both"/>
      </w:pPr>
    </w:p>
    <w:p w:rsidR="002D45DC" w:rsidRDefault="002D45DC" w:rsidP="006F317B"/>
    <w:sectPr w:rsidR="002D45DC" w:rsidSect="00E97BE5">
      <w:pgSz w:w="11906" w:h="16838"/>
      <w:pgMar w:top="297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B1F" w:rsidRDefault="00866B1F" w:rsidP="0044078B">
      <w:pPr>
        <w:spacing w:after="0" w:line="240" w:lineRule="auto"/>
      </w:pPr>
      <w:r>
        <w:separator/>
      </w:r>
    </w:p>
  </w:endnote>
  <w:endnote w:type="continuationSeparator" w:id="0">
    <w:p w:rsidR="00866B1F" w:rsidRDefault="00866B1F" w:rsidP="00440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B1F" w:rsidRDefault="00866B1F" w:rsidP="0044078B">
      <w:pPr>
        <w:spacing w:after="0" w:line="240" w:lineRule="auto"/>
      </w:pPr>
      <w:r>
        <w:separator/>
      </w:r>
    </w:p>
  </w:footnote>
  <w:footnote w:type="continuationSeparator" w:id="0">
    <w:p w:rsidR="00866B1F" w:rsidRDefault="00866B1F" w:rsidP="004407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039F3"/>
    <w:multiLevelType w:val="multilevel"/>
    <w:tmpl w:val="15744354"/>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213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nsid w:val="16E348E1"/>
    <w:multiLevelType w:val="hybridMultilevel"/>
    <w:tmpl w:val="682610AE"/>
    <w:lvl w:ilvl="0" w:tplc="59B84512">
      <w:start w:val="1"/>
      <w:numFmt w:val="lowerLetter"/>
      <w:lvlText w:val="%1)"/>
      <w:lvlJc w:val="left"/>
      <w:pPr>
        <w:ind w:left="1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2CB7D8">
      <w:start w:val="1"/>
      <w:numFmt w:val="lowerLetter"/>
      <w:lvlText w:val="%2"/>
      <w:lvlJc w:val="left"/>
      <w:pPr>
        <w:ind w:left="2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F69402">
      <w:start w:val="1"/>
      <w:numFmt w:val="lowerRoman"/>
      <w:lvlText w:val="%3"/>
      <w:lvlJc w:val="left"/>
      <w:pPr>
        <w:ind w:left="3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C0F2B2">
      <w:start w:val="1"/>
      <w:numFmt w:val="decimal"/>
      <w:lvlText w:val="%4"/>
      <w:lvlJc w:val="left"/>
      <w:pPr>
        <w:ind w:left="3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9476E6">
      <w:start w:val="1"/>
      <w:numFmt w:val="lowerLetter"/>
      <w:lvlText w:val="%5"/>
      <w:lvlJc w:val="left"/>
      <w:pPr>
        <w:ind w:left="4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861FEC">
      <w:start w:val="1"/>
      <w:numFmt w:val="lowerRoman"/>
      <w:lvlText w:val="%6"/>
      <w:lvlJc w:val="left"/>
      <w:pPr>
        <w:ind w:left="5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F4656A">
      <w:start w:val="1"/>
      <w:numFmt w:val="decimal"/>
      <w:lvlText w:val="%7"/>
      <w:lvlJc w:val="left"/>
      <w:pPr>
        <w:ind w:left="6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609EBE">
      <w:start w:val="1"/>
      <w:numFmt w:val="lowerLetter"/>
      <w:lvlText w:val="%8"/>
      <w:lvlJc w:val="left"/>
      <w:pPr>
        <w:ind w:left="6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349CE4">
      <w:start w:val="1"/>
      <w:numFmt w:val="lowerRoman"/>
      <w:lvlText w:val="%9"/>
      <w:lvlJc w:val="left"/>
      <w:pPr>
        <w:ind w:left="7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nsid w:val="23965813"/>
    <w:multiLevelType w:val="multilevel"/>
    <w:tmpl w:val="2A0A0B12"/>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nsid w:val="2A4549DA"/>
    <w:multiLevelType w:val="multilevel"/>
    <w:tmpl w:val="C944C49C"/>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7"/>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nsid w:val="47EF4CBC"/>
    <w:multiLevelType w:val="multilevel"/>
    <w:tmpl w:val="19ECBB4A"/>
    <w:lvl w:ilvl="0">
      <w:start w:val="1"/>
      <w:numFmt w:val="decimal"/>
      <w:lvlText w:val="%1."/>
      <w:lvlJc w:val="left"/>
      <w:pPr>
        <w:ind w:left="14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nsid w:val="4FA64E1B"/>
    <w:multiLevelType w:val="multilevel"/>
    <w:tmpl w:val="564E558C"/>
    <w:lvl w:ilvl="0">
      <w:start w:val="5"/>
      <w:numFmt w:val="decimal"/>
      <w:lvlText w:val="%1."/>
      <w:lvlJc w:val="left"/>
      <w:pPr>
        <w:ind w:left="1416"/>
      </w:pPr>
      <w:rPr>
        <w:rFonts w:ascii="Calibri" w:eastAsia="Calibri" w:hAnsi="Calibri" w:cs="Calibri"/>
        <w:b/>
        <w:bCs/>
        <w:i w:val="0"/>
        <w:strike w:val="0"/>
        <w:dstrike w:val="0"/>
        <w:color w:val="000000"/>
        <w:sz w:val="24"/>
        <w:szCs w:val="24"/>
        <w:u w:val="none" w:color="000000"/>
        <w:bdr w:val="none" w:sz="0" w:space="0" w:color="auto"/>
        <w:shd w:val="clear" w:color="auto" w:fill="E6E6E6"/>
        <w:vertAlign w:val="baseline"/>
      </w:rPr>
    </w:lvl>
    <w:lvl w:ilvl="1">
      <w:start w:val="1"/>
      <w:numFmt w:val="decimal"/>
      <w:lvlText w:val="%1.%2."/>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nsid w:val="6EA75D15"/>
    <w:multiLevelType w:val="multilevel"/>
    <w:tmpl w:val="69A42256"/>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7"/>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5"/>
  </w:num>
  <w:num w:numId="3">
    <w:abstractNumId w:val="1"/>
  </w:num>
  <w:num w:numId="4">
    <w:abstractNumId w:val="3"/>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78B"/>
    <w:rsid w:val="000E0889"/>
    <w:rsid w:val="002D45DC"/>
    <w:rsid w:val="0044078B"/>
    <w:rsid w:val="004C3323"/>
    <w:rsid w:val="006F317B"/>
    <w:rsid w:val="007E2315"/>
    <w:rsid w:val="007F1A63"/>
    <w:rsid w:val="00866B1F"/>
    <w:rsid w:val="00920632"/>
    <w:rsid w:val="00D00D22"/>
    <w:rsid w:val="00E97BE5"/>
    <w:rsid w:val="00F216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78B"/>
    <w:pPr>
      <w:spacing w:after="160" w:line="252" w:lineRule="auto"/>
    </w:pPr>
    <w:rPr>
      <w:rFonts w:ascii="Calibri" w:eastAsia="Calibri" w:hAnsi="Calibri" w:cs="Times New Roman"/>
    </w:rPr>
  </w:style>
  <w:style w:type="paragraph" w:styleId="Ttulo1">
    <w:name w:val="heading 1"/>
    <w:next w:val="Normal"/>
    <w:link w:val="Ttulo1Char"/>
    <w:uiPriority w:val="9"/>
    <w:qFormat/>
    <w:rsid w:val="006F317B"/>
    <w:pPr>
      <w:keepNext/>
      <w:keepLines/>
      <w:spacing w:after="92" w:line="259"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unhideWhenUsed/>
    <w:qFormat/>
    <w:rsid w:val="006F317B"/>
    <w:pPr>
      <w:keepNext/>
      <w:keepLines/>
      <w:spacing w:after="107" w:line="259"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4078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4078B"/>
    <w:rPr>
      <w:rFonts w:ascii="Calibri" w:eastAsia="Calibri" w:hAnsi="Calibri" w:cs="Times New Roman"/>
    </w:rPr>
  </w:style>
  <w:style w:type="paragraph" w:styleId="Rodap">
    <w:name w:val="footer"/>
    <w:basedOn w:val="Normal"/>
    <w:link w:val="RodapChar"/>
    <w:uiPriority w:val="99"/>
    <w:unhideWhenUsed/>
    <w:rsid w:val="0044078B"/>
    <w:pPr>
      <w:tabs>
        <w:tab w:val="center" w:pos="4252"/>
        <w:tab w:val="right" w:pos="8504"/>
      </w:tabs>
      <w:spacing w:after="0" w:line="240" w:lineRule="auto"/>
    </w:pPr>
  </w:style>
  <w:style w:type="character" w:customStyle="1" w:styleId="RodapChar">
    <w:name w:val="Rodapé Char"/>
    <w:basedOn w:val="Fontepargpadro"/>
    <w:link w:val="Rodap"/>
    <w:uiPriority w:val="99"/>
    <w:rsid w:val="0044078B"/>
    <w:rPr>
      <w:rFonts w:ascii="Calibri" w:eastAsia="Calibri" w:hAnsi="Calibri" w:cs="Times New Roman"/>
    </w:rPr>
  </w:style>
  <w:style w:type="character" w:customStyle="1" w:styleId="Ttulo1Char">
    <w:name w:val="Título 1 Char"/>
    <w:basedOn w:val="Fontepargpadro"/>
    <w:link w:val="Ttulo1"/>
    <w:uiPriority w:val="9"/>
    <w:rsid w:val="006F317B"/>
    <w:rPr>
      <w:rFonts w:ascii="Calibri" w:eastAsia="Calibri" w:hAnsi="Calibri" w:cs="Calibri"/>
      <w:b/>
      <w:color w:val="000000"/>
      <w:sz w:val="24"/>
      <w:lang w:eastAsia="pt-BR"/>
    </w:rPr>
  </w:style>
  <w:style w:type="character" w:customStyle="1" w:styleId="Ttulo2Char">
    <w:name w:val="Título 2 Char"/>
    <w:basedOn w:val="Fontepargpadro"/>
    <w:link w:val="Ttulo2"/>
    <w:uiPriority w:val="9"/>
    <w:rsid w:val="006F317B"/>
    <w:rPr>
      <w:rFonts w:ascii="Calibri" w:eastAsia="Calibri" w:hAnsi="Calibri" w:cs="Calibri"/>
      <w:b/>
      <w:color w:val="000000"/>
      <w:sz w:val="24"/>
      <w:lang w:eastAsia="pt-BR"/>
    </w:rPr>
  </w:style>
  <w:style w:type="table" w:customStyle="1" w:styleId="TableGrid">
    <w:name w:val="TableGrid"/>
    <w:rsid w:val="006F317B"/>
    <w:pPr>
      <w:spacing w:after="0" w:line="240" w:lineRule="auto"/>
    </w:pPr>
    <w:rPr>
      <w:rFonts w:eastAsiaTheme="minorEastAsia"/>
      <w:lang w:eastAsia="pt-BR"/>
    </w:rPr>
    <w:tblPr>
      <w:tblCellMar>
        <w:top w:w="0" w:type="dxa"/>
        <w:left w:w="0" w:type="dxa"/>
        <w:bottom w:w="0" w:type="dxa"/>
        <w:right w:w="0" w:type="dxa"/>
      </w:tblCellMar>
    </w:tblPr>
  </w:style>
  <w:style w:type="paragraph" w:styleId="PargrafodaLista">
    <w:name w:val="List Paragraph"/>
    <w:basedOn w:val="Normal"/>
    <w:uiPriority w:val="34"/>
    <w:qFormat/>
    <w:rsid w:val="006F317B"/>
    <w:pPr>
      <w:spacing w:after="122" w:line="248" w:lineRule="auto"/>
      <w:ind w:left="720" w:right="169" w:hanging="10"/>
      <w:contextualSpacing/>
      <w:jc w:val="both"/>
    </w:pPr>
    <w:rPr>
      <w:rFonts w:cs="Calibri"/>
      <w:color w:val="000000"/>
      <w:sz w:val="24"/>
      <w:lang w:eastAsia="pt-BR"/>
    </w:rPr>
  </w:style>
  <w:style w:type="paragraph" w:customStyle="1" w:styleId="Nivel2">
    <w:name w:val="Nivel 2"/>
    <w:basedOn w:val="Normal"/>
    <w:link w:val="Nivel2Char"/>
    <w:autoRedefine/>
    <w:qFormat/>
    <w:rsid w:val="006F317B"/>
    <w:pPr>
      <w:spacing w:before="120" w:after="120" w:line="276" w:lineRule="auto"/>
      <w:jc w:val="both"/>
    </w:pPr>
    <w:rPr>
      <w:rFonts w:ascii="Times New Roman" w:eastAsia="Arial" w:hAnsi="Times New Roman"/>
      <w:color w:val="000000"/>
      <w:sz w:val="24"/>
      <w:szCs w:val="24"/>
      <w:lang w:eastAsia="pt-BR"/>
    </w:rPr>
  </w:style>
  <w:style w:type="character" w:customStyle="1" w:styleId="Nivel2Char">
    <w:name w:val="Nivel 2 Char"/>
    <w:basedOn w:val="Fontepargpadro"/>
    <w:link w:val="Nivel2"/>
    <w:locked/>
    <w:rsid w:val="006F317B"/>
    <w:rPr>
      <w:rFonts w:ascii="Times New Roman" w:eastAsia="Arial" w:hAnsi="Times New Roman" w:cs="Times New Roman"/>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78B"/>
    <w:pPr>
      <w:spacing w:after="160" w:line="252" w:lineRule="auto"/>
    </w:pPr>
    <w:rPr>
      <w:rFonts w:ascii="Calibri" w:eastAsia="Calibri" w:hAnsi="Calibri" w:cs="Times New Roman"/>
    </w:rPr>
  </w:style>
  <w:style w:type="paragraph" w:styleId="Ttulo1">
    <w:name w:val="heading 1"/>
    <w:next w:val="Normal"/>
    <w:link w:val="Ttulo1Char"/>
    <w:uiPriority w:val="9"/>
    <w:qFormat/>
    <w:rsid w:val="006F317B"/>
    <w:pPr>
      <w:keepNext/>
      <w:keepLines/>
      <w:spacing w:after="92" w:line="259"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unhideWhenUsed/>
    <w:qFormat/>
    <w:rsid w:val="006F317B"/>
    <w:pPr>
      <w:keepNext/>
      <w:keepLines/>
      <w:spacing w:after="107" w:line="259"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4078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4078B"/>
    <w:rPr>
      <w:rFonts w:ascii="Calibri" w:eastAsia="Calibri" w:hAnsi="Calibri" w:cs="Times New Roman"/>
    </w:rPr>
  </w:style>
  <w:style w:type="paragraph" w:styleId="Rodap">
    <w:name w:val="footer"/>
    <w:basedOn w:val="Normal"/>
    <w:link w:val="RodapChar"/>
    <w:uiPriority w:val="99"/>
    <w:unhideWhenUsed/>
    <w:rsid w:val="0044078B"/>
    <w:pPr>
      <w:tabs>
        <w:tab w:val="center" w:pos="4252"/>
        <w:tab w:val="right" w:pos="8504"/>
      </w:tabs>
      <w:spacing w:after="0" w:line="240" w:lineRule="auto"/>
    </w:pPr>
  </w:style>
  <w:style w:type="character" w:customStyle="1" w:styleId="RodapChar">
    <w:name w:val="Rodapé Char"/>
    <w:basedOn w:val="Fontepargpadro"/>
    <w:link w:val="Rodap"/>
    <w:uiPriority w:val="99"/>
    <w:rsid w:val="0044078B"/>
    <w:rPr>
      <w:rFonts w:ascii="Calibri" w:eastAsia="Calibri" w:hAnsi="Calibri" w:cs="Times New Roman"/>
    </w:rPr>
  </w:style>
  <w:style w:type="character" w:customStyle="1" w:styleId="Ttulo1Char">
    <w:name w:val="Título 1 Char"/>
    <w:basedOn w:val="Fontepargpadro"/>
    <w:link w:val="Ttulo1"/>
    <w:uiPriority w:val="9"/>
    <w:rsid w:val="006F317B"/>
    <w:rPr>
      <w:rFonts w:ascii="Calibri" w:eastAsia="Calibri" w:hAnsi="Calibri" w:cs="Calibri"/>
      <w:b/>
      <w:color w:val="000000"/>
      <w:sz w:val="24"/>
      <w:lang w:eastAsia="pt-BR"/>
    </w:rPr>
  </w:style>
  <w:style w:type="character" w:customStyle="1" w:styleId="Ttulo2Char">
    <w:name w:val="Título 2 Char"/>
    <w:basedOn w:val="Fontepargpadro"/>
    <w:link w:val="Ttulo2"/>
    <w:uiPriority w:val="9"/>
    <w:rsid w:val="006F317B"/>
    <w:rPr>
      <w:rFonts w:ascii="Calibri" w:eastAsia="Calibri" w:hAnsi="Calibri" w:cs="Calibri"/>
      <w:b/>
      <w:color w:val="000000"/>
      <w:sz w:val="24"/>
      <w:lang w:eastAsia="pt-BR"/>
    </w:rPr>
  </w:style>
  <w:style w:type="table" w:customStyle="1" w:styleId="TableGrid">
    <w:name w:val="TableGrid"/>
    <w:rsid w:val="006F317B"/>
    <w:pPr>
      <w:spacing w:after="0" w:line="240" w:lineRule="auto"/>
    </w:pPr>
    <w:rPr>
      <w:rFonts w:eastAsiaTheme="minorEastAsia"/>
      <w:lang w:eastAsia="pt-BR"/>
    </w:rPr>
    <w:tblPr>
      <w:tblCellMar>
        <w:top w:w="0" w:type="dxa"/>
        <w:left w:w="0" w:type="dxa"/>
        <w:bottom w:w="0" w:type="dxa"/>
        <w:right w:w="0" w:type="dxa"/>
      </w:tblCellMar>
    </w:tblPr>
  </w:style>
  <w:style w:type="paragraph" w:styleId="PargrafodaLista">
    <w:name w:val="List Paragraph"/>
    <w:basedOn w:val="Normal"/>
    <w:uiPriority w:val="34"/>
    <w:qFormat/>
    <w:rsid w:val="006F317B"/>
    <w:pPr>
      <w:spacing w:after="122" w:line="248" w:lineRule="auto"/>
      <w:ind w:left="720" w:right="169" w:hanging="10"/>
      <w:contextualSpacing/>
      <w:jc w:val="both"/>
    </w:pPr>
    <w:rPr>
      <w:rFonts w:cs="Calibri"/>
      <w:color w:val="000000"/>
      <w:sz w:val="24"/>
      <w:lang w:eastAsia="pt-BR"/>
    </w:rPr>
  </w:style>
  <w:style w:type="paragraph" w:customStyle="1" w:styleId="Nivel2">
    <w:name w:val="Nivel 2"/>
    <w:basedOn w:val="Normal"/>
    <w:link w:val="Nivel2Char"/>
    <w:autoRedefine/>
    <w:qFormat/>
    <w:rsid w:val="006F317B"/>
    <w:pPr>
      <w:spacing w:before="120" w:after="120" w:line="276" w:lineRule="auto"/>
      <w:jc w:val="both"/>
    </w:pPr>
    <w:rPr>
      <w:rFonts w:ascii="Times New Roman" w:eastAsia="Arial" w:hAnsi="Times New Roman"/>
      <w:color w:val="000000"/>
      <w:sz w:val="24"/>
      <w:szCs w:val="24"/>
      <w:lang w:eastAsia="pt-BR"/>
    </w:rPr>
  </w:style>
  <w:style w:type="character" w:customStyle="1" w:styleId="Nivel2Char">
    <w:name w:val="Nivel 2 Char"/>
    <w:basedOn w:val="Fontepargpadro"/>
    <w:link w:val="Nivel2"/>
    <w:locked/>
    <w:rsid w:val="006F317B"/>
    <w:rPr>
      <w:rFonts w:ascii="Times New Roman" w:eastAsia="Arial"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09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br/agu/pt-br/composicao/cgu/cgu/guias/gncs_082022.pdf" TargetMode="External"/><Relationship Id="rId4" Type="http://schemas.openxmlformats.org/officeDocument/2006/relationships/settings" Target="settings.xml"/><Relationship Id="rId9" Type="http://schemas.openxmlformats.org/officeDocument/2006/relationships/hyperlink" Target="https://www.gov.br/agu/pt-br/composicao/cgu/cgu/guias/gncs_08202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11</Pages>
  <Words>3640</Words>
  <Characters>19659</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Esterpe</cp:lastModifiedBy>
  <cp:revision>4</cp:revision>
  <dcterms:created xsi:type="dcterms:W3CDTF">2024-06-17T14:33:00Z</dcterms:created>
  <dcterms:modified xsi:type="dcterms:W3CDTF">2024-07-26T12:38:00Z</dcterms:modified>
</cp:coreProperties>
</file>