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28" w:rsidRDefault="00FC0828" w:rsidP="00FC082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90</w:t>
      </w:r>
      <w:r>
        <w:rPr>
          <w:rFonts w:ascii="Arial" w:hAnsi="Arial" w:cs="Arial"/>
          <w:b/>
          <w:sz w:val="23"/>
          <w:szCs w:val="23"/>
        </w:rPr>
        <w:t>/2024</w:t>
      </w:r>
    </w:p>
    <w:p w:rsidR="00FC0828" w:rsidRDefault="00FC0828" w:rsidP="00FC0828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FC0828" w:rsidRDefault="00FC0828" w:rsidP="00FC0828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</w:t>
      </w:r>
      <w:r>
        <w:rPr>
          <w:rFonts w:ascii="Arial" w:hAnsi="Arial" w:cs="Arial"/>
          <w:b/>
          <w:sz w:val="23"/>
          <w:szCs w:val="23"/>
        </w:rPr>
        <w:t xml:space="preserve"> A EMPRESA JORGE MARCOS DE OLIVEIRA</w:t>
      </w:r>
      <w:r>
        <w:rPr>
          <w:rFonts w:ascii="Arial" w:hAnsi="Arial" w:cs="Arial"/>
          <w:b/>
          <w:sz w:val="23"/>
          <w:szCs w:val="23"/>
        </w:rPr>
        <w:t>.</w:t>
      </w:r>
    </w:p>
    <w:p w:rsidR="00FC0828" w:rsidRDefault="00FC0828" w:rsidP="00FC0828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LAJEADO DO BUGRE - RS, pessoa jurídica de direito público Interno, inscrito no CNPJ sob o nº 92.410.448/0001-00, neste ato representado por seu Prefeito Municipal, Sr. RONALDO MACHADO DA SILVA, inscrito no CPF: 004.229.410-00, e RG sob nº 1089863853, casado, doravante denominado CONTRATANTE, e de outro lado a EMPRESA </w:t>
      </w:r>
      <w:r>
        <w:rPr>
          <w:rFonts w:ascii="Arial" w:hAnsi="Arial" w:cs="Arial"/>
          <w:b/>
          <w:sz w:val="23"/>
          <w:szCs w:val="23"/>
        </w:rPr>
        <w:t>JORGE MARCOS DE OLIVEIRA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pessoa jurídica de direito Privado, inscrito no </w:t>
      </w:r>
      <w:r>
        <w:rPr>
          <w:rFonts w:ascii="Arial" w:hAnsi="Arial" w:cs="Arial"/>
        </w:rPr>
        <w:t>CNPJ sob o n° 24.622.234/0001-39</w:t>
      </w:r>
      <w:r>
        <w:rPr>
          <w:rFonts w:ascii="Arial" w:hAnsi="Arial" w:cs="Arial"/>
        </w:rPr>
        <w:t>, com sede de Lajeado do Bugre – RS, Rua/AV</w:t>
      </w:r>
      <w:r>
        <w:rPr>
          <w:rFonts w:ascii="Arial" w:hAnsi="Arial" w:cs="Arial"/>
        </w:rPr>
        <w:t xml:space="preserve"> Linha Esquina Umbu, interior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denominado CONTRATADA</w:t>
      </w:r>
      <w:proofErr w:type="gramEnd"/>
      <w:r>
        <w:rPr>
          <w:rFonts w:ascii="Arial" w:hAnsi="Arial" w:cs="Arial"/>
        </w:rPr>
        <w:t>, celebram o presente CONTRATO DE PRESTAÇÃO DE SERVIÇOS, nos termos e nas cláusulas que se seguem: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FC0828" w:rsidRDefault="00FC0828" w:rsidP="00FC0828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Pr="00446C77">
        <w:rPr>
          <w:rFonts w:ascii="Arial" w:hAnsi="Arial" w:cs="Arial"/>
        </w:rPr>
        <w:t xml:space="preserve">A Contratação de Serviços de Mão de Obras em Geral para a manutenção de diferentes espaços do Município de Lajeado do Bugre/RS por </w:t>
      </w:r>
      <w:r w:rsidRPr="00446C77">
        <w:rPr>
          <w:rFonts w:ascii="Arial" w:hAnsi="Arial" w:cs="Arial"/>
          <w:b/>
          <w:bCs/>
        </w:rPr>
        <w:t>DISPENSA DE LICITAÇÃO</w:t>
      </w:r>
      <w:r w:rsidRPr="00446C77">
        <w:rPr>
          <w:rFonts w:ascii="Arial" w:hAnsi="Arial" w:cs="Arial"/>
        </w:rPr>
        <w:t xml:space="preserve">, se dá em virtude da necessidade da manutenção anual que deve ser realizada nos espaços públicos municipais, </w:t>
      </w:r>
      <w:proofErr w:type="gramStart"/>
      <w:r w:rsidRPr="00446C77">
        <w:rPr>
          <w:rFonts w:ascii="Arial" w:hAnsi="Arial" w:cs="Arial"/>
        </w:rPr>
        <w:t>afim de</w:t>
      </w:r>
      <w:proofErr w:type="gramEnd"/>
      <w:r w:rsidRPr="00446C77">
        <w:rPr>
          <w:rFonts w:ascii="Arial" w:hAnsi="Arial" w:cs="Arial"/>
        </w:rPr>
        <w:t xml:space="preserve"> oferecer melhores condições aos servidores que nos mesmos atuam, bem como ofertar locais agradáveis para momentos de lazer e diversão da população do município de Lajeado do Bugre/RS. A contratação será realizada conforme condições, quantidades e exigências estabelecidas neste instrumento:</w:t>
      </w:r>
    </w:p>
    <w:tbl>
      <w:tblPr>
        <w:tblStyle w:val="TableGrid"/>
        <w:tblW w:w="10200" w:type="dxa"/>
        <w:tblInd w:w="-749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4"/>
        <w:gridCol w:w="2513"/>
        <w:gridCol w:w="1655"/>
        <w:gridCol w:w="1542"/>
        <w:gridCol w:w="1547"/>
        <w:gridCol w:w="2229"/>
      </w:tblGrid>
      <w:tr w:rsidR="00FC0828" w:rsidRPr="00446C77" w:rsidTr="00FC0828">
        <w:trPr>
          <w:trHeight w:val="74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4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  <w:b/>
              </w:rPr>
              <w:t>UNIDADE DE MEDIDA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  <w:b/>
              </w:rPr>
              <w:t>VALOR TOTAL</w:t>
            </w:r>
          </w:p>
        </w:tc>
      </w:tr>
      <w:tr w:rsidR="00FC0828" w:rsidRPr="00446C77" w:rsidTr="00FC0828">
        <w:trPr>
          <w:trHeight w:val="11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t>1</w:t>
            </w:r>
            <w:proofErr w:type="gram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  <w:bCs/>
              </w:rPr>
              <w:t xml:space="preserve">Fechamento fundo do campo com colocação de </w:t>
            </w:r>
            <w:proofErr w:type="gramStart"/>
            <w:r w:rsidRPr="00446C77">
              <w:rPr>
                <w:rFonts w:ascii="Arial" w:hAnsi="Arial" w:cs="Arial"/>
                <w:bCs/>
              </w:rPr>
              <w:t>8</w:t>
            </w:r>
            <w:proofErr w:type="gramEnd"/>
            <w:r w:rsidRPr="00446C77">
              <w:rPr>
                <w:rFonts w:ascii="Arial" w:hAnsi="Arial" w:cs="Arial"/>
                <w:bCs/>
              </w:rPr>
              <w:t xml:space="preserve"> postes e telas de 5 metros de altura.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R$ 5.500,00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R$ 5.500,00</w:t>
            </w:r>
          </w:p>
        </w:tc>
      </w:tr>
      <w:tr w:rsidR="00FC0828" w:rsidRPr="00446C77" w:rsidTr="00FC0828">
        <w:trPr>
          <w:trHeight w:val="11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t>2</w:t>
            </w:r>
            <w:proofErr w:type="gram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Manutenção do Ginásio Municipal (Troca de Parques), além da manutenção de banheiros e vestiários.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R$ 5.000,00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R$ 5.000,00</w:t>
            </w:r>
          </w:p>
        </w:tc>
      </w:tr>
      <w:tr w:rsidR="00FC0828" w:rsidRPr="00446C77" w:rsidTr="00FC0828">
        <w:trPr>
          <w:trHeight w:val="11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lastRenderedPageBreak/>
              <w:t>3</w:t>
            </w:r>
            <w:proofErr w:type="gram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Pintura da quadra do ginásio municipal 18x32 metros.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R$ 5.800,00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R$ 5.800,00</w:t>
            </w:r>
          </w:p>
        </w:tc>
      </w:tr>
      <w:tr w:rsidR="00FC0828" w:rsidRPr="00446C77" w:rsidTr="00FC0828">
        <w:trPr>
          <w:trHeight w:val="11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t>4</w:t>
            </w:r>
            <w:proofErr w:type="gram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 xml:space="preserve">Manutenção do telhado do prédio da </w:t>
            </w:r>
            <w:proofErr w:type="spellStart"/>
            <w:r w:rsidRPr="00446C77">
              <w:rPr>
                <w:rFonts w:ascii="Arial" w:hAnsi="Arial" w:cs="Arial"/>
              </w:rPr>
              <w:t>Emater</w:t>
            </w:r>
            <w:proofErr w:type="spellEnd"/>
            <w:r w:rsidRPr="00446C77">
              <w:rPr>
                <w:rFonts w:ascii="Arial" w:hAnsi="Arial" w:cs="Arial"/>
              </w:rPr>
              <w:t>.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R$ 2.000,00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R$ 2.000,00</w:t>
            </w:r>
          </w:p>
        </w:tc>
      </w:tr>
      <w:tr w:rsidR="00FC0828" w:rsidRPr="00446C77" w:rsidTr="00FC0828">
        <w:trPr>
          <w:trHeight w:val="11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t>5</w:t>
            </w:r>
            <w:proofErr w:type="gram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Manutenção do telhado da unidade básica de saúde, com instalação de manta asfáltica e troca de telhas.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R$ 1.500,00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R$ 1.500,00</w:t>
            </w:r>
          </w:p>
        </w:tc>
      </w:tr>
      <w:tr w:rsidR="00FC0828" w:rsidRPr="00446C77" w:rsidTr="00FC0828">
        <w:trPr>
          <w:trHeight w:val="11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t>6</w:t>
            </w:r>
            <w:proofErr w:type="gram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Assentamento de piso cerâmico na unidade básica de saúde 140 m².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R$ 3.000,00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R$ 3.000,00</w:t>
            </w:r>
          </w:p>
        </w:tc>
      </w:tr>
      <w:tr w:rsidR="00FC0828" w:rsidRPr="00446C77" w:rsidTr="00FC0828">
        <w:trPr>
          <w:trHeight w:val="114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t>7</w:t>
            </w:r>
            <w:proofErr w:type="gram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Reforma e ampliação da sala de internação com pintura 6x4 metros.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R$ 3.500,00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R$ 3.500,00</w:t>
            </w:r>
          </w:p>
        </w:tc>
      </w:tr>
      <w:tr w:rsidR="00FC0828" w:rsidRPr="00446C77" w:rsidTr="00FC0828">
        <w:tblPrEx>
          <w:tblCellMar>
            <w:left w:w="0" w:type="dxa"/>
            <w:right w:w="0" w:type="dxa"/>
          </w:tblCellMar>
        </w:tblPrEx>
        <w:trPr>
          <w:trHeight w:val="1140"/>
        </w:trPr>
        <w:tc>
          <w:tcPr>
            <w:tcW w:w="714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t>8</w:t>
            </w:r>
            <w:proofErr w:type="gramEnd"/>
          </w:p>
        </w:tc>
        <w:tc>
          <w:tcPr>
            <w:tcW w:w="2513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Concretagem de viga para instalação de portão na Escola Nestor Guimarães.</w:t>
            </w:r>
          </w:p>
        </w:tc>
        <w:tc>
          <w:tcPr>
            <w:tcW w:w="1655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R$ 800,00</w:t>
            </w:r>
          </w:p>
        </w:tc>
        <w:tc>
          <w:tcPr>
            <w:tcW w:w="2229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R$ 800,00</w:t>
            </w:r>
          </w:p>
        </w:tc>
      </w:tr>
      <w:tr w:rsidR="00FC0828" w:rsidRPr="00446C77" w:rsidTr="00FC0828">
        <w:tblPrEx>
          <w:tblCellMar>
            <w:left w:w="0" w:type="dxa"/>
            <w:right w:w="0" w:type="dxa"/>
          </w:tblCellMar>
        </w:tblPrEx>
        <w:trPr>
          <w:trHeight w:val="1140"/>
        </w:trPr>
        <w:tc>
          <w:tcPr>
            <w:tcW w:w="714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446C77">
              <w:rPr>
                <w:rFonts w:ascii="Arial" w:hAnsi="Arial" w:cs="Arial"/>
                <w:b/>
                <w:szCs w:val="24"/>
              </w:rPr>
              <w:t>9</w:t>
            </w:r>
            <w:proofErr w:type="gramEnd"/>
          </w:p>
        </w:tc>
        <w:tc>
          <w:tcPr>
            <w:tcW w:w="2513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Instalação e manutenção de tela na quadra de esportes da Escola Nestor Guimarães.</w:t>
            </w:r>
          </w:p>
        </w:tc>
        <w:tc>
          <w:tcPr>
            <w:tcW w:w="1655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R$ 4.000,00</w:t>
            </w:r>
          </w:p>
        </w:tc>
        <w:tc>
          <w:tcPr>
            <w:tcW w:w="2229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R$ 4.000,00</w:t>
            </w:r>
          </w:p>
        </w:tc>
      </w:tr>
      <w:tr w:rsidR="00FC0828" w:rsidRPr="00446C77" w:rsidTr="00FC0828">
        <w:tblPrEx>
          <w:tblCellMar>
            <w:left w:w="0" w:type="dxa"/>
            <w:right w:w="0" w:type="dxa"/>
          </w:tblCellMar>
        </w:tblPrEx>
        <w:trPr>
          <w:trHeight w:val="1140"/>
        </w:trPr>
        <w:tc>
          <w:tcPr>
            <w:tcW w:w="714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Cs w:val="24"/>
              </w:rPr>
            </w:pPr>
            <w:r w:rsidRPr="00446C77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2513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Instalação de piso cerâmico e pintura da sala da psicóloga 4x5 metros.</w:t>
            </w:r>
          </w:p>
        </w:tc>
        <w:tc>
          <w:tcPr>
            <w:tcW w:w="1655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</w:rPr>
            </w:pPr>
            <w:proofErr w:type="gramStart"/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542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hAnsi="Arial" w:cs="Arial"/>
              </w:rPr>
              <w:t>UND</w:t>
            </w:r>
          </w:p>
        </w:tc>
        <w:tc>
          <w:tcPr>
            <w:tcW w:w="1547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R$ 2.500,00</w:t>
            </w:r>
          </w:p>
        </w:tc>
        <w:tc>
          <w:tcPr>
            <w:tcW w:w="2229" w:type="dxa"/>
            <w:vAlign w:val="center"/>
          </w:tcPr>
          <w:p w:rsidR="00FC0828" w:rsidRPr="00446C77" w:rsidRDefault="00FC0828" w:rsidP="007B08CD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</w:rPr>
            </w:pPr>
            <w:r w:rsidRPr="00446C77">
              <w:rPr>
                <w:rFonts w:ascii="Arial" w:eastAsia="NSimSun" w:hAnsi="Arial" w:cs="Arial"/>
                <w:kern w:val="3"/>
                <w:lang w:eastAsia="zh-CN" w:bidi="hi-IN"/>
              </w:rPr>
              <w:t>R$ 2.500,00</w:t>
            </w:r>
          </w:p>
        </w:tc>
      </w:tr>
    </w:tbl>
    <w:p w:rsidR="00FC0828" w:rsidRPr="00446C77" w:rsidRDefault="00FC0828" w:rsidP="00FC0828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FC0828" w:rsidRPr="00446C77" w:rsidRDefault="00FC0828" w:rsidP="00FC0828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Pr="00446C77">
        <w:rPr>
          <w:rFonts w:ascii="Arial" w:hAnsi="Arial" w:cs="Arial"/>
        </w:rPr>
        <w:t>O custo estimado total da contratação é de R$ 33.600,00 (Trinta e três mil e seiscentos reais), conforme custos unitários apostos na tabela acima.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presente contrato será de até 10 meses, contados a partir da assinatura do contrato, podendo ser prorrogado mediante acordo entre as partes.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FC0828" w:rsidRPr="00FC0828" w:rsidRDefault="00FC0828" w:rsidP="00FC082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</w:rPr>
        <w:t xml:space="preserve">6.1. A empresa </w:t>
      </w:r>
      <w:r>
        <w:rPr>
          <w:rFonts w:ascii="Arial" w:hAnsi="Arial" w:cs="Arial"/>
          <w:b/>
          <w:sz w:val="23"/>
          <w:szCs w:val="23"/>
        </w:rPr>
        <w:t>JORGE MARCOS DE OLIVEIRA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</w:rPr>
        <w:t>ficará sujeita, no caso de inexecução total ou parcial do contrato, às seguintes penalidades, garantido o direito de ampla defesa: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Suspensão do direito de contratar com o MUNICÍPIO, pelo prazo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ano, na hipótese de reiterado descumprimento das obrigações contratuais.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>
        <w:rPr>
          <w:rFonts w:ascii="Arial" w:hAnsi="Arial" w:cs="Arial"/>
          <w:b/>
          <w:sz w:val="23"/>
          <w:szCs w:val="23"/>
        </w:rPr>
        <w:t>JORGE MARCOS DE OLIVEIRA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data em que o MUNICÍPIO pagar a prestação mensal.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 – DA DOTAÇÃO ORÇAMENTÁRIA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– RS, 15 DE AGOSTO DE 2024</w:t>
      </w:r>
      <w:bookmarkStart w:id="0" w:name="_GoBack"/>
      <w:bookmarkEnd w:id="0"/>
      <w:r>
        <w:rPr>
          <w:rFonts w:ascii="Arial" w:hAnsi="Arial" w:cs="Arial"/>
          <w:b/>
        </w:rPr>
        <w:t xml:space="preserve">. 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RONALDO MACHADO DA SILVA 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Contratante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3"/>
          <w:szCs w:val="23"/>
        </w:rPr>
        <w:t>JORGE MARCOS DE OLIVEIRA</w:t>
      </w:r>
      <w:r>
        <w:rPr>
          <w:rFonts w:ascii="Arial" w:hAnsi="Arial" w:cs="Arial"/>
          <w:b/>
        </w:rPr>
        <w:t xml:space="preserve"> 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Contratada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  <w:proofErr w:type="gramStart"/>
      <w:r>
        <w:rPr>
          <w:rFonts w:ascii="Arial" w:hAnsi="Arial" w:cs="Arial"/>
          <w:b/>
        </w:rPr>
        <w:t xml:space="preserve">  </w:t>
      </w:r>
    </w:p>
    <w:p w:rsidR="00C37BE6" w:rsidRDefault="00C37BE6">
      <w:proofErr w:type="gramEnd"/>
    </w:p>
    <w:sectPr w:rsidR="00C37BE6" w:rsidSect="00FC0828">
      <w:pgSz w:w="11906" w:h="16838"/>
      <w:pgMar w:top="32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28" w:rsidRDefault="00FC0828" w:rsidP="00FC0828">
      <w:pPr>
        <w:spacing w:after="0" w:line="240" w:lineRule="auto"/>
      </w:pPr>
      <w:r>
        <w:separator/>
      </w:r>
    </w:p>
  </w:endnote>
  <w:endnote w:type="continuationSeparator" w:id="0">
    <w:p w:rsidR="00FC0828" w:rsidRDefault="00FC0828" w:rsidP="00FC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28" w:rsidRDefault="00FC0828" w:rsidP="00FC0828">
      <w:pPr>
        <w:spacing w:after="0" w:line="240" w:lineRule="auto"/>
      </w:pPr>
      <w:r>
        <w:separator/>
      </w:r>
    </w:p>
  </w:footnote>
  <w:footnote w:type="continuationSeparator" w:id="0">
    <w:p w:rsidR="00FC0828" w:rsidRDefault="00FC0828" w:rsidP="00FC0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8"/>
    <w:rsid w:val="00C37BE6"/>
    <w:rsid w:val="00F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28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828"/>
  </w:style>
  <w:style w:type="paragraph" w:styleId="Rodap">
    <w:name w:val="footer"/>
    <w:basedOn w:val="Normal"/>
    <w:link w:val="RodapChar"/>
    <w:uiPriority w:val="99"/>
    <w:unhideWhenUsed/>
    <w:rsid w:val="00FC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828"/>
  </w:style>
  <w:style w:type="table" w:customStyle="1" w:styleId="TableGrid">
    <w:name w:val="TableGrid"/>
    <w:rsid w:val="00FC082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28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828"/>
  </w:style>
  <w:style w:type="paragraph" w:styleId="Rodap">
    <w:name w:val="footer"/>
    <w:basedOn w:val="Normal"/>
    <w:link w:val="RodapChar"/>
    <w:uiPriority w:val="99"/>
    <w:unhideWhenUsed/>
    <w:rsid w:val="00FC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828"/>
  </w:style>
  <w:style w:type="table" w:customStyle="1" w:styleId="TableGrid">
    <w:name w:val="TableGrid"/>
    <w:rsid w:val="00FC082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2024-08-19T15:31:00Z</dcterms:created>
  <dcterms:modified xsi:type="dcterms:W3CDTF">2024-08-19T15:40:00Z</dcterms:modified>
</cp:coreProperties>
</file>