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001904F7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BD1498">
        <w:rPr>
          <w:rFonts w:ascii="Arial" w:hAnsi="Arial" w:cs="Arial"/>
          <w:b/>
          <w:sz w:val="23"/>
          <w:szCs w:val="23"/>
        </w:rPr>
        <w:t>3</w:t>
      </w:r>
      <w:r w:rsidR="00B626B4">
        <w:rPr>
          <w:rFonts w:ascii="Arial" w:hAnsi="Arial" w:cs="Arial"/>
          <w:b/>
          <w:sz w:val="23"/>
          <w:szCs w:val="23"/>
        </w:rPr>
        <w:t>3/2026</w:t>
      </w:r>
    </w:p>
    <w:p w14:paraId="701E88D7" w14:textId="659B79C7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BD1498">
        <w:rPr>
          <w:rFonts w:ascii="Arial" w:hAnsi="Arial" w:cs="Arial"/>
          <w:b/>
          <w:sz w:val="23"/>
          <w:szCs w:val="23"/>
        </w:rPr>
        <w:t>2</w:t>
      </w:r>
      <w:r w:rsidR="00B626B4">
        <w:rPr>
          <w:rFonts w:ascii="Arial" w:hAnsi="Arial" w:cs="Arial"/>
          <w:b/>
          <w:sz w:val="23"/>
          <w:szCs w:val="23"/>
        </w:rPr>
        <w:t>3/2026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189BB73D" w:rsidR="00180CDC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BD1498">
        <w:rPr>
          <w:rFonts w:ascii="Arial" w:hAnsi="Arial" w:cs="Arial"/>
          <w:b/>
          <w:sz w:val="23"/>
          <w:szCs w:val="23"/>
        </w:rPr>
        <w:t>I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4E37FFD9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</w:t>
      </w:r>
      <w:r w:rsidR="00BD1498">
        <w:rPr>
          <w:rFonts w:ascii="Arial" w:hAnsi="Arial" w:cs="Arial"/>
          <w:sz w:val="23"/>
          <w:szCs w:val="23"/>
        </w:rPr>
        <w:t xml:space="preserve"> em Exercício</w:t>
      </w:r>
      <w:r w:rsidRPr="00FE515F">
        <w:rPr>
          <w:rFonts w:ascii="Arial" w:hAnsi="Arial" w:cs="Arial"/>
          <w:sz w:val="23"/>
          <w:szCs w:val="23"/>
        </w:rPr>
        <w:t xml:space="preserve"> Sr. </w:t>
      </w:r>
      <w:proofErr w:type="spellStart"/>
      <w:r w:rsidR="00BD1498">
        <w:rPr>
          <w:rFonts w:ascii="Arial" w:hAnsi="Arial" w:cs="Arial"/>
          <w:sz w:val="23"/>
          <w:szCs w:val="23"/>
        </w:rPr>
        <w:t>Maico</w:t>
      </w:r>
      <w:proofErr w:type="spellEnd"/>
      <w:r w:rsidR="00BD1498">
        <w:rPr>
          <w:rFonts w:ascii="Arial" w:hAnsi="Arial" w:cs="Arial"/>
          <w:sz w:val="23"/>
          <w:szCs w:val="23"/>
        </w:rPr>
        <w:t xml:space="preserve"> Silva de Lima</w:t>
      </w:r>
      <w:r w:rsidRPr="00FE515F">
        <w:rPr>
          <w:rFonts w:ascii="Arial" w:hAnsi="Arial" w:cs="Arial"/>
          <w:sz w:val="23"/>
          <w:szCs w:val="23"/>
        </w:rPr>
        <w:t xml:space="preserve">, nos termos do art. 75, inciso </w:t>
      </w:r>
      <w:r w:rsidR="00BD1498">
        <w:rPr>
          <w:rFonts w:ascii="Arial" w:hAnsi="Arial" w:cs="Arial"/>
          <w:sz w:val="23"/>
          <w:szCs w:val="23"/>
        </w:rPr>
        <w:t>I</w:t>
      </w:r>
      <w:r w:rsidRPr="00FE515F">
        <w:rPr>
          <w:rFonts w:ascii="Arial" w:hAnsi="Arial" w:cs="Arial"/>
          <w:sz w:val="23"/>
          <w:szCs w:val="23"/>
        </w:rPr>
        <w:t xml:space="preserve">I, da Lei Federal Nº 14.133, de 01 de abril de 2021,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bookmarkStart w:id="0" w:name="_Hlk170224429"/>
      <w:r w:rsidR="00374408" w:rsidRPr="00EF7800">
        <w:rPr>
          <w:rFonts w:ascii="Arial" w:hAnsi="Arial" w:cs="Arial"/>
          <w:bCs/>
        </w:rPr>
        <w:t>Contratação de Serviços</w:t>
      </w:r>
      <w:r w:rsidR="00374408">
        <w:rPr>
          <w:rFonts w:ascii="Arial" w:hAnsi="Arial" w:cs="Arial"/>
          <w:bCs/>
        </w:rPr>
        <w:t xml:space="preserve"> mão de obra para</w:t>
      </w:r>
      <w:r w:rsidR="00374408" w:rsidRPr="00EF7800">
        <w:rPr>
          <w:rFonts w:ascii="Arial" w:hAnsi="Arial" w:cs="Arial"/>
          <w:bCs/>
        </w:rPr>
        <w:t xml:space="preserve"> </w:t>
      </w:r>
      <w:bookmarkEnd w:id="0"/>
      <w:r w:rsidR="00374408">
        <w:rPr>
          <w:rFonts w:ascii="Arial" w:hAnsi="Arial" w:cs="Arial"/>
          <w:bCs/>
        </w:rPr>
        <w:t>reforma</w:t>
      </w:r>
      <w:r w:rsidR="00BD1498">
        <w:rPr>
          <w:rFonts w:ascii="Arial" w:hAnsi="Arial" w:cs="Arial"/>
          <w:bCs/>
        </w:rPr>
        <w:t>, manutenções e melhoria de espaços públicos ligados a Secretaria de Educação</w:t>
      </w:r>
      <w:r w:rsidR="00374408" w:rsidRPr="00EF7800">
        <w:rPr>
          <w:rFonts w:ascii="Arial" w:hAnsi="Arial" w:cs="Arial"/>
          <w:bCs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, com base nas justificativas e disposições legais abaixo fixadas: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65B26E67" w14:textId="77FC0EE3" w:rsidR="00180CDC" w:rsidRDefault="00BD1498" w:rsidP="00BD149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BD1498">
        <w:rPr>
          <w:rFonts w:ascii="Arial" w:hAnsi="Arial" w:cs="Arial"/>
          <w:bCs/>
        </w:rPr>
        <w:t>SERVIÇOS DE MANUTENÇÃO E REPAROS EM ESCOLAS MUNICIPAIS E ESPAÇOS MUNICIPAIS</w:t>
      </w:r>
      <w:r w:rsidR="00374408"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>da manutenção que deve ser realizada n</w:t>
      </w:r>
      <w:r w:rsidR="00374408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 Escolas Municipais e demais espaços públicos ligados a Secretaria Municipal de Educação</w:t>
      </w:r>
      <w:r w:rsidR="00374408">
        <w:rPr>
          <w:rFonts w:ascii="Arial" w:hAnsi="Arial" w:cs="Arial"/>
          <w:sz w:val="23"/>
          <w:szCs w:val="23"/>
        </w:rPr>
        <w:t xml:space="preserve">, </w:t>
      </w:r>
      <w:r w:rsidR="00A909A2" w:rsidRPr="00FE515F">
        <w:rPr>
          <w:rFonts w:ascii="Arial" w:hAnsi="Arial" w:cs="Arial"/>
          <w:sz w:val="23"/>
          <w:szCs w:val="23"/>
        </w:rPr>
        <w:t xml:space="preserve"> afim de oferecer melhores condições aos </w:t>
      </w:r>
      <w:r w:rsidR="00B626B4">
        <w:rPr>
          <w:rFonts w:ascii="Arial" w:hAnsi="Arial" w:cs="Arial"/>
          <w:sz w:val="23"/>
          <w:szCs w:val="23"/>
        </w:rPr>
        <w:t>servidores</w:t>
      </w:r>
      <w:r>
        <w:rPr>
          <w:rFonts w:ascii="Arial" w:hAnsi="Arial" w:cs="Arial"/>
          <w:sz w:val="23"/>
          <w:szCs w:val="23"/>
        </w:rPr>
        <w:t xml:space="preserve">, professores </w:t>
      </w:r>
      <w:r w:rsidR="00B626B4">
        <w:rPr>
          <w:rFonts w:ascii="Arial" w:hAnsi="Arial" w:cs="Arial"/>
          <w:sz w:val="23"/>
          <w:szCs w:val="23"/>
        </w:rPr>
        <w:t>e a nossa população que utiliza este</w:t>
      </w:r>
      <w:r>
        <w:rPr>
          <w:rFonts w:ascii="Arial" w:hAnsi="Arial" w:cs="Arial"/>
          <w:sz w:val="23"/>
          <w:szCs w:val="23"/>
        </w:rPr>
        <w:t xml:space="preserve">s espaços de </w:t>
      </w:r>
      <w:r w:rsidR="0036667F">
        <w:rPr>
          <w:rFonts w:ascii="Arial" w:hAnsi="Arial" w:cs="Arial"/>
          <w:sz w:val="23"/>
          <w:szCs w:val="23"/>
        </w:rPr>
        <w:t>conveniência</w:t>
      </w:r>
      <w:r w:rsidR="00A909A2" w:rsidRPr="00FE515F">
        <w:rPr>
          <w:rFonts w:ascii="Arial" w:hAnsi="Arial" w:cs="Arial"/>
          <w:sz w:val="23"/>
          <w:szCs w:val="23"/>
        </w:rPr>
        <w:t xml:space="preserve"> </w:t>
      </w:r>
      <w:r w:rsidR="00B626B4">
        <w:rPr>
          <w:rFonts w:ascii="Arial" w:hAnsi="Arial" w:cs="Arial"/>
          <w:sz w:val="23"/>
          <w:szCs w:val="23"/>
        </w:rPr>
        <w:t xml:space="preserve">bem como sanar as </w:t>
      </w:r>
      <w:r w:rsidR="0036667F">
        <w:rPr>
          <w:rFonts w:ascii="Arial" w:hAnsi="Arial" w:cs="Arial"/>
          <w:sz w:val="23"/>
          <w:szCs w:val="23"/>
        </w:rPr>
        <w:t>danos estruturais de uso</w:t>
      </w:r>
      <w:r w:rsidR="00B626B4">
        <w:rPr>
          <w:rFonts w:ascii="Arial" w:hAnsi="Arial" w:cs="Arial"/>
          <w:sz w:val="23"/>
          <w:szCs w:val="23"/>
        </w:rPr>
        <w:t xml:space="preserve"> que vem prejudica</w:t>
      </w:r>
      <w:r w:rsidR="0036667F">
        <w:rPr>
          <w:rFonts w:ascii="Arial" w:hAnsi="Arial" w:cs="Arial"/>
          <w:sz w:val="23"/>
          <w:szCs w:val="23"/>
        </w:rPr>
        <w:t>r</w:t>
      </w:r>
      <w:r w:rsidR="00B626B4">
        <w:rPr>
          <w:rFonts w:ascii="Arial" w:hAnsi="Arial" w:cs="Arial"/>
          <w:sz w:val="23"/>
          <w:szCs w:val="23"/>
        </w:rPr>
        <w:t xml:space="preserve"> e atrasando o atendimento a população junto a nossa</w:t>
      </w:r>
      <w:r w:rsidR="0036667F">
        <w:rPr>
          <w:rFonts w:ascii="Arial" w:hAnsi="Arial" w:cs="Arial"/>
          <w:sz w:val="23"/>
          <w:szCs w:val="23"/>
        </w:rPr>
        <w:t>s escolas municipais e a toda a nossa rede de educação.</w:t>
      </w:r>
      <w:r w:rsidR="00B626B4">
        <w:rPr>
          <w:rFonts w:ascii="Arial" w:hAnsi="Arial" w:cs="Arial"/>
          <w:sz w:val="23"/>
          <w:szCs w:val="23"/>
        </w:rPr>
        <w:t xml:space="preserve"> </w:t>
      </w:r>
    </w:p>
    <w:p w14:paraId="6A002D06" w14:textId="77777777" w:rsidR="00B626B4" w:rsidRPr="00FE515F" w:rsidRDefault="00B626B4" w:rsidP="00B626B4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521"/>
        <w:gridCol w:w="1749"/>
        <w:gridCol w:w="1984"/>
      </w:tblGrid>
      <w:tr w:rsidR="00791581" w:rsidRPr="00FE515F" w14:paraId="31C0AEE8" w14:textId="77777777" w:rsidTr="0036667F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36667F" w:rsidRPr="00FE515F" w14:paraId="743CE99C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0798F0A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73E6BC31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Serviço de troca de coberta, 227m²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2574" w14:textId="6C1B30FD" w:rsidR="0036667F" w:rsidRPr="009C216E" w:rsidRDefault="0036667F" w:rsidP="0036667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6A3358B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4CF560D3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 6.810,00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7C9059B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 6.810,00</w:t>
            </w:r>
          </w:p>
        </w:tc>
      </w:tr>
      <w:tr w:rsidR="0036667F" w:rsidRPr="00FE515F" w14:paraId="419DC29A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0415" w14:textId="0B7A8DF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3D0" w14:textId="75CE9863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pintura e reparos nas paredes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F6684" w14:textId="4EDE3EAA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BA1" w14:textId="3F16DAB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FBFD" w14:textId="48CDC061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 10.000,00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CCFC" w14:textId="185A246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 10.000,00</w:t>
            </w:r>
          </w:p>
        </w:tc>
      </w:tr>
      <w:tr w:rsidR="0036667F" w:rsidRPr="00FE515F" w14:paraId="3810F8ED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A831" w14:textId="0217D7BF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67A6" w14:textId="11B9001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reparos na coberta da escola Nestor Guimarães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0AEC" w14:textId="6AD1B25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BB61" w14:textId="09B28F5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4232" w14:textId="553445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44BD" w14:textId="515F4D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1.000,00</w:t>
            </w:r>
          </w:p>
        </w:tc>
      </w:tr>
      <w:tr w:rsidR="0036667F" w:rsidRPr="00FE515F" w14:paraId="5181348A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E1C1" w14:textId="449B744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9743" w14:textId="0144F1AF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Serviço de demolição 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requadramento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de paredes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9944" w14:textId="2232B6A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9AD2" w14:textId="0E95222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5150" w14:textId="50312EA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60E7" w14:textId="09D722A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2.000,00</w:t>
            </w:r>
          </w:p>
        </w:tc>
      </w:tr>
      <w:tr w:rsidR="0036667F" w:rsidRPr="00FE515F" w14:paraId="604B1A2C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6E5" w14:textId="0EFBA1A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2BD8" w14:textId="4CF8881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troca de espelhos e caixas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D058" w14:textId="0A4BAF4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6F66" w14:textId="148EDA8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7512" w14:textId="1D59D2D7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1C4B" w14:textId="19FA37FB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2.500,00</w:t>
            </w:r>
          </w:p>
        </w:tc>
      </w:tr>
      <w:tr w:rsidR="0036667F" w:rsidRPr="00FE515F" w14:paraId="6A503F37" w14:textId="77777777" w:rsidTr="0036667F">
        <w:trPr>
          <w:trHeight w:val="9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3E3BA" w14:textId="04676E93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432CF" w14:textId="75889E3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reboco de oitão e alicerce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DF9AF" w14:textId="47615FC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50D1" w14:textId="7DA52C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3C24" w14:textId="2F4262AA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4FF3B" w14:textId="20CFDC5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1.500,00</w:t>
            </w:r>
          </w:p>
        </w:tc>
      </w:tr>
      <w:tr w:rsidR="0036667F" w:rsidRPr="00FE515F" w14:paraId="5408F42C" w14:textId="77777777" w:rsidTr="0036667F">
        <w:trPr>
          <w:trHeight w:val="9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46D3" w14:textId="03E7417D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8C945" w14:textId="152A5F1A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reparo nos forros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33E2" w14:textId="44AD678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5172" w14:textId="4B68FCC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756E" w14:textId="6145B5FF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3CFD5" w14:textId="4A63EC26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1.500,00</w:t>
            </w:r>
          </w:p>
        </w:tc>
      </w:tr>
      <w:tr w:rsidR="0036667F" w:rsidRPr="00FE515F" w14:paraId="24F5BB1E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902E" w14:textId="130E4B0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E20B" w14:textId="158F2810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revisar a parte hidráulica e manutenção do poço negro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95B8" w14:textId="15B5751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F87" w14:textId="6D59F2A8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93EA" w14:textId="766758F3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31A0" w14:textId="75CC58B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1.000,00</w:t>
            </w:r>
          </w:p>
        </w:tc>
      </w:tr>
      <w:tr w:rsidR="0036667F" w:rsidRPr="00FE515F" w14:paraId="5F1B05FB" w14:textId="77777777" w:rsidTr="0036667F">
        <w:trPr>
          <w:trHeight w:val="9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47F54" w14:textId="4B2515A3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8B8F" w14:textId="3000A97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Serviço de reparo na rede elétrica, trocar fios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E92F" w14:textId="2EBF082D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9B1" w14:textId="71A964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9F4B" w14:textId="3B752B3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A9E" w14:textId="1908C8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</w:tr>
      <w:tr w:rsidR="0036667F" w:rsidRPr="00FE515F" w14:paraId="1D66F8F5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F82F6" w14:textId="0C210E7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FD077" w14:textId="2471B776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construção de piso e contrapiso em 15 paradas escolares, medindo 4x5m, no interior do município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D2872" w14:textId="0A85B2B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54E45" w14:textId="46256AF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7106" w14:textId="0104CF69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7.500,00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E9B7" w14:textId="30958E3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7.500,00</w:t>
            </w:r>
          </w:p>
        </w:tc>
      </w:tr>
      <w:tr w:rsidR="0036667F" w:rsidRPr="00FE515F" w14:paraId="2303C36F" w14:textId="77777777" w:rsidTr="0036667F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9A2ED" w14:textId="07840A92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225B" w14:textId="3997E80F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 de reboco e espelho ginásio de esportes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EE91A" w14:textId="2484B1AA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187F4" w14:textId="11A081E1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958B5" w14:textId="747EA29C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1.500,00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F305" w14:textId="393127F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R$: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1.500,00</w:t>
            </w:r>
          </w:p>
        </w:tc>
      </w:tr>
      <w:tr w:rsidR="0036667F" w:rsidRPr="00FE515F" w14:paraId="4DB4032D" w14:textId="77777777" w:rsidTr="0036667F">
        <w:trPr>
          <w:trHeight w:val="10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5123" w14:textId="6E7191BF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EA76D" w14:textId="13AE5826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Reparos no ginásio de esportes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9AFCE" w14:textId="55A35447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A35F2" w14:textId="75E502D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46306" w14:textId="2DD6A5D1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73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7BC6A" w14:textId="1EA4052A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73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</w:tr>
      <w:tr w:rsidR="0036667F" w:rsidRPr="00FE515F" w14:paraId="19C8A62B" w14:textId="77777777" w:rsidTr="0036667F">
        <w:trPr>
          <w:trHeight w:val="9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AB8EE" w14:textId="6348234B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454D" w14:textId="22787556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Serviço de revitalização da parada escolar em frente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igreja picada grande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4F59" w14:textId="6DAA7374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0E1E6" w14:textId="3F1C0D78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11D2C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0E5B" w14:textId="1566E59E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73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E9A78" w14:textId="27838B35" w:rsidR="0036667F" w:rsidRPr="00FE515F" w:rsidRDefault="0036667F" w:rsidP="0036667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B7391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R$: 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2.000,00</w:t>
            </w:r>
          </w:p>
        </w:tc>
      </w:tr>
    </w:tbl>
    <w:p w14:paraId="6DE531EB" w14:textId="311F840B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2554C9" w:rsidRPr="00FE515F">
        <w:rPr>
          <w:rFonts w:ascii="Arial" w:hAnsi="Arial" w:cs="Arial"/>
          <w:sz w:val="23"/>
          <w:szCs w:val="23"/>
        </w:rPr>
        <w:t>d</w:t>
      </w:r>
      <w:r w:rsidR="00B626B4">
        <w:rPr>
          <w:rFonts w:ascii="Arial" w:hAnsi="Arial" w:cs="Arial"/>
          <w:sz w:val="23"/>
          <w:szCs w:val="23"/>
        </w:rPr>
        <w:t xml:space="preserve">o início dos serviços após a contratação é de cinco dias e </w:t>
      </w:r>
      <w:r w:rsidR="002554C9" w:rsidRPr="00FE515F">
        <w:rPr>
          <w:rFonts w:ascii="Arial" w:hAnsi="Arial" w:cs="Arial"/>
          <w:sz w:val="23"/>
          <w:szCs w:val="23"/>
        </w:rPr>
        <w:t xml:space="preserve">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36667F">
        <w:rPr>
          <w:rFonts w:ascii="Arial" w:hAnsi="Arial" w:cs="Arial"/>
          <w:sz w:val="23"/>
          <w:szCs w:val="23"/>
        </w:rPr>
        <w:t>60</w:t>
      </w:r>
      <w:r w:rsidR="00897961">
        <w:rPr>
          <w:rFonts w:ascii="Arial" w:hAnsi="Arial" w:cs="Arial"/>
          <w:sz w:val="23"/>
          <w:szCs w:val="23"/>
        </w:rPr>
        <w:t xml:space="preserve"> dias em virtude </w:t>
      </w:r>
      <w:r w:rsidR="00B626B4">
        <w:rPr>
          <w:rFonts w:ascii="Arial" w:hAnsi="Arial" w:cs="Arial"/>
          <w:sz w:val="23"/>
          <w:szCs w:val="23"/>
        </w:rPr>
        <w:t>de não ser possível paralisar os atendimentos junto a</w:t>
      </w:r>
      <w:r w:rsidR="0036667F">
        <w:rPr>
          <w:rFonts w:ascii="Arial" w:hAnsi="Arial" w:cs="Arial"/>
          <w:sz w:val="23"/>
          <w:szCs w:val="23"/>
        </w:rPr>
        <w:t>s escolas municipais, e</w:t>
      </w:r>
      <w:r w:rsidR="00B626B4">
        <w:rPr>
          <w:rFonts w:ascii="Arial" w:hAnsi="Arial" w:cs="Arial"/>
          <w:sz w:val="23"/>
          <w:szCs w:val="23"/>
        </w:rPr>
        <w:t xml:space="preserve"> para otimizar o tempo e evitar que </w:t>
      </w:r>
      <w:r w:rsidR="0036667F">
        <w:rPr>
          <w:rFonts w:ascii="Arial" w:hAnsi="Arial" w:cs="Arial"/>
          <w:sz w:val="23"/>
          <w:szCs w:val="23"/>
        </w:rPr>
        <w:t>as chuvas prejudiquem</w:t>
      </w:r>
      <w:r w:rsidR="00B626B4">
        <w:rPr>
          <w:rFonts w:ascii="Arial" w:hAnsi="Arial" w:cs="Arial"/>
          <w:sz w:val="23"/>
          <w:szCs w:val="23"/>
        </w:rPr>
        <w:t xml:space="preserve"> ainda mais as estruturas existentes</w:t>
      </w:r>
      <w:r w:rsidR="0036667F">
        <w:rPr>
          <w:rFonts w:ascii="Arial" w:hAnsi="Arial" w:cs="Arial"/>
          <w:sz w:val="23"/>
          <w:szCs w:val="23"/>
        </w:rPr>
        <w:t xml:space="preserve"> e para que na chegada do inverto dos os serviços estejam concluídos.</w:t>
      </w:r>
    </w:p>
    <w:p w14:paraId="30415383" w14:textId="6A7B1FA5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</w:t>
      </w:r>
      <w:r w:rsidR="0036667F">
        <w:rPr>
          <w:rFonts w:ascii="Arial" w:hAnsi="Arial" w:cs="Arial"/>
          <w:sz w:val="23"/>
          <w:szCs w:val="23"/>
        </w:rPr>
        <w:t>s prestadores de serviço</w:t>
      </w:r>
      <w:r w:rsidRPr="00FE515F">
        <w:rPr>
          <w:rFonts w:ascii="Arial" w:hAnsi="Arial" w:cs="Arial"/>
          <w:sz w:val="23"/>
          <w:szCs w:val="23"/>
        </w:rPr>
        <w:t xml:space="preserve"> dever</w:t>
      </w:r>
      <w:r w:rsidR="0036667F">
        <w:rPr>
          <w:rFonts w:ascii="Arial" w:hAnsi="Arial" w:cs="Arial"/>
          <w:sz w:val="23"/>
          <w:szCs w:val="23"/>
        </w:rPr>
        <w:t>ão</w:t>
      </w:r>
      <w:r w:rsidRPr="00FE515F">
        <w:rPr>
          <w:rFonts w:ascii="Arial" w:hAnsi="Arial" w:cs="Arial"/>
          <w:sz w:val="23"/>
          <w:szCs w:val="23"/>
        </w:rPr>
        <w:t xml:space="preserve"> realizar </w:t>
      </w:r>
      <w:r w:rsidR="006A597C" w:rsidRPr="00FE515F">
        <w:rPr>
          <w:rFonts w:ascii="Arial" w:hAnsi="Arial" w:cs="Arial"/>
          <w:sz w:val="23"/>
          <w:szCs w:val="23"/>
        </w:rPr>
        <w:t>o</w:t>
      </w:r>
      <w:r w:rsidR="0036667F">
        <w:rPr>
          <w:rFonts w:ascii="Arial" w:hAnsi="Arial" w:cs="Arial"/>
          <w:sz w:val="23"/>
          <w:szCs w:val="23"/>
        </w:rPr>
        <w:t>s</w:t>
      </w:r>
      <w:r w:rsidR="006A597C" w:rsidRPr="00FE515F">
        <w:rPr>
          <w:rFonts w:ascii="Arial" w:hAnsi="Arial" w:cs="Arial"/>
          <w:sz w:val="23"/>
          <w:szCs w:val="23"/>
        </w:rPr>
        <w:t xml:space="preserve"> serviço</w:t>
      </w:r>
      <w:r w:rsidR="0036667F">
        <w:rPr>
          <w:rFonts w:ascii="Arial" w:hAnsi="Arial" w:cs="Arial"/>
          <w:sz w:val="23"/>
          <w:szCs w:val="23"/>
        </w:rPr>
        <w:t>s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36667F">
        <w:rPr>
          <w:rFonts w:ascii="Arial" w:hAnsi="Arial" w:cs="Arial"/>
          <w:sz w:val="23"/>
          <w:szCs w:val="23"/>
        </w:rPr>
        <w:t>, com máxima urgência e de forma que não atrapalhe o desenvolvimento das atividades nas escolas.</w:t>
      </w:r>
    </w:p>
    <w:p w14:paraId="0EC22B15" w14:textId="6B0F9531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 w:rsidR="00897961">
        <w:rPr>
          <w:rFonts w:ascii="Arial" w:hAnsi="Arial" w:cs="Arial"/>
          <w:sz w:val="23"/>
          <w:szCs w:val="23"/>
        </w:rPr>
        <w:t xml:space="preserve">em até </w:t>
      </w:r>
      <w:r w:rsidR="0036667F">
        <w:rPr>
          <w:rFonts w:ascii="Arial" w:hAnsi="Arial" w:cs="Arial"/>
          <w:sz w:val="23"/>
          <w:szCs w:val="23"/>
        </w:rPr>
        <w:t>60</w:t>
      </w:r>
      <w:r w:rsidR="00897961">
        <w:rPr>
          <w:rFonts w:ascii="Arial" w:hAnsi="Arial" w:cs="Arial"/>
          <w:sz w:val="23"/>
          <w:szCs w:val="23"/>
        </w:rPr>
        <w:t xml:space="preserve"> dias e o contato terá validade máxima de </w:t>
      </w:r>
      <w:r w:rsidR="00B626B4">
        <w:rPr>
          <w:rFonts w:ascii="Arial" w:hAnsi="Arial" w:cs="Arial"/>
          <w:sz w:val="23"/>
          <w:szCs w:val="23"/>
        </w:rPr>
        <w:t>1</w:t>
      </w:r>
      <w:r w:rsidR="0036667F">
        <w:rPr>
          <w:rFonts w:ascii="Arial" w:hAnsi="Arial" w:cs="Arial"/>
          <w:sz w:val="23"/>
          <w:szCs w:val="23"/>
        </w:rPr>
        <w:t>8</w:t>
      </w:r>
      <w:r w:rsidR="00897961">
        <w:rPr>
          <w:rFonts w:ascii="Arial" w:hAnsi="Arial" w:cs="Arial"/>
          <w:sz w:val="23"/>
          <w:szCs w:val="23"/>
        </w:rPr>
        <w:t>0 dias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254133C6" w:rsidR="00180CDC" w:rsidRPr="00FE515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contratação é de R$ </w:t>
      </w:r>
      <w:r w:rsidR="0036667F">
        <w:rPr>
          <w:rFonts w:ascii="Arial" w:hAnsi="Arial" w:cs="Arial"/>
          <w:sz w:val="23"/>
          <w:szCs w:val="23"/>
        </w:rPr>
        <w:t>41.310,00</w:t>
      </w:r>
      <w:r w:rsidR="004E7974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(</w:t>
      </w:r>
      <w:r w:rsidR="0036667F">
        <w:rPr>
          <w:rFonts w:ascii="Arial" w:hAnsi="Arial" w:cs="Arial"/>
          <w:sz w:val="23"/>
          <w:szCs w:val="23"/>
        </w:rPr>
        <w:t>quarenta e uma mil trezentos e dez reis</w:t>
      </w:r>
      <w:r w:rsidR="00D81A44">
        <w:rPr>
          <w:rFonts w:ascii="Arial" w:hAnsi="Arial" w:cs="Arial"/>
          <w:sz w:val="23"/>
          <w:szCs w:val="23"/>
        </w:rPr>
        <w:t>).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5DDAF041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36667F" w:rsidRPr="0036667F">
        <w:rPr>
          <w:rFonts w:ascii="Arial" w:hAnsi="Arial" w:cs="Arial"/>
          <w:sz w:val="23"/>
          <w:szCs w:val="23"/>
        </w:rPr>
        <w:t>SERVIÇOS DE MANUTENÇÃO E REPAROS EM ESCOLAS MUNICIPAIS E ESPAÇOS MUNICIPAIS</w:t>
      </w:r>
      <w:r w:rsidR="00D81A44">
        <w:rPr>
          <w:rFonts w:ascii="Arial" w:hAnsi="Arial" w:cs="Arial"/>
          <w:sz w:val="23"/>
          <w:szCs w:val="23"/>
        </w:rPr>
        <w:t>,</w:t>
      </w:r>
      <w:r w:rsidR="004E7974" w:rsidRPr="00FE515F">
        <w:rPr>
          <w:rFonts w:ascii="Arial" w:hAnsi="Arial" w:cs="Arial"/>
          <w:sz w:val="23"/>
          <w:szCs w:val="23"/>
        </w:rPr>
        <w:t xml:space="preserve"> se fazem necessários para garantir o </w:t>
      </w:r>
      <w:proofErr w:type="gramStart"/>
      <w:r w:rsidR="004E7974" w:rsidRPr="00FE515F">
        <w:rPr>
          <w:rFonts w:ascii="Arial" w:hAnsi="Arial" w:cs="Arial"/>
          <w:sz w:val="23"/>
          <w:szCs w:val="23"/>
        </w:rPr>
        <w:t>bem estar</w:t>
      </w:r>
      <w:proofErr w:type="gramEnd"/>
      <w:r w:rsidR="004E7974" w:rsidRPr="00FE515F">
        <w:rPr>
          <w:rFonts w:ascii="Arial" w:hAnsi="Arial" w:cs="Arial"/>
          <w:sz w:val="23"/>
          <w:szCs w:val="23"/>
        </w:rPr>
        <w:t xml:space="preserve"> da população</w:t>
      </w:r>
      <w:r w:rsidR="00897961">
        <w:rPr>
          <w:rFonts w:ascii="Arial" w:hAnsi="Arial" w:cs="Arial"/>
          <w:sz w:val="23"/>
          <w:szCs w:val="23"/>
        </w:rPr>
        <w:t xml:space="preserve"> e dar uma boa condição </w:t>
      </w:r>
      <w:r w:rsidR="0036667F">
        <w:rPr>
          <w:rFonts w:ascii="Arial" w:hAnsi="Arial" w:cs="Arial"/>
          <w:sz w:val="23"/>
          <w:szCs w:val="23"/>
        </w:rPr>
        <w:t xml:space="preserve">de desenvolvimento das atividades desenvolvidas em nossa escolas municipais e demais espaços públicos de atividades cotidianas. </w:t>
      </w:r>
    </w:p>
    <w:p w14:paraId="342F494D" w14:textId="7EE2E77C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 municipal</w:t>
      </w:r>
      <w:r w:rsidR="00897961">
        <w:rPr>
          <w:rFonts w:ascii="Arial" w:hAnsi="Arial" w:cs="Arial"/>
          <w:sz w:val="23"/>
          <w:szCs w:val="23"/>
        </w:rPr>
        <w:t>idade realizar as manutenções d</w:t>
      </w:r>
      <w:r w:rsidR="00D81A44">
        <w:rPr>
          <w:rFonts w:ascii="Arial" w:hAnsi="Arial" w:cs="Arial"/>
          <w:sz w:val="23"/>
          <w:szCs w:val="23"/>
        </w:rPr>
        <w:t>a</w:t>
      </w:r>
      <w:r w:rsidR="0036667F">
        <w:rPr>
          <w:rFonts w:ascii="Arial" w:hAnsi="Arial" w:cs="Arial"/>
          <w:sz w:val="23"/>
          <w:szCs w:val="23"/>
        </w:rPr>
        <w:t>s Escolas Municipais e demais espaços públicos</w:t>
      </w:r>
      <w:r w:rsidR="004E7974" w:rsidRPr="00FE515F">
        <w:rPr>
          <w:rFonts w:ascii="Arial" w:hAnsi="Arial" w:cs="Arial"/>
          <w:sz w:val="23"/>
          <w:szCs w:val="23"/>
        </w:rPr>
        <w:t xml:space="preserve">, visando manter os mesmos sempre em perfeitas condições, para que estes possam ser </w:t>
      </w:r>
      <w:r w:rsidR="004E7974" w:rsidRPr="00FE515F">
        <w:rPr>
          <w:rFonts w:ascii="Arial" w:hAnsi="Arial" w:cs="Arial"/>
          <w:sz w:val="23"/>
          <w:szCs w:val="23"/>
        </w:rPr>
        <w:lastRenderedPageBreak/>
        <w:t>usados pelos munícipes</w:t>
      </w:r>
      <w:r w:rsidR="00D81A44">
        <w:rPr>
          <w:rFonts w:ascii="Arial" w:hAnsi="Arial" w:cs="Arial"/>
          <w:sz w:val="23"/>
          <w:szCs w:val="23"/>
        </w:rPr>
        <w:t xml:space="preserve">, considerando que </w:t>
      </w:r>
      <w:r w:rsidR="0036667F">
        <w:rPr>
          <w:rFonts w:ascii="Arial" w:hAnsi="Arial" w:cs="Arial"/>
          <w:sz w:val="23"/>
          <w:szCs w:val="23"/>
        </w:rPr>
        <w:t>as escolas municipais acolhem crianças as quais em diversas situações utilizam estes espaços em turno integral</w:t>
      </w:r>
      <w:r w:rsidR="00D81A44">
        <w:rPr>
          <w:rFonts w:ascii="Arial" w:hAnsi="Arial" w:cs="Arial"/>
          <w:sz w:val="23"/>
          <w:szCs w:val="23"/>
        </w:rPr>
        <w:t xml:space="preserve">. </w:t>
      </w:r>
    </w:p>
    <w:p w14:paraId="7BD696BB" w14:textId="6ABACDD5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 xml:space="preserve">, principalmente a comunidade </w:t>
      </w:r>
      <w:r w:rsidR="00D81A44">
        <w:rPr>
          <w:rFonts w:ascii="Arial" w:hAnsi="Arial" w:cs="Arial"/>
          <w:sz w:val="23"/>
          <w:szCs w:val="23"/>
        </w:rPr>
        <w:t>e</w:t>
      </w:r>
      <w:r w:rsidR="0036667F">
        <w:rPr>
          <w:rFonts w:ascii="Arial" w:hAnsi="Arial" w:cs="Arial"/>
          <w:sz w:val="23"/>
          <w:szCs w:val="23"/>
        </w:rPr>
        <w:t xml:space="preserve">scolar que demandam destes espaços diariamente. </w:t>
      </w:r>
    </w:p>
    <w:p w14:paraId="4C836EB0" w14:textId="1B7766FB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D81A44">
        <w:rPr>
          <w:rFonts w:ascii="Arial" w:hAnsi="Arial" w:cs="Arial"/>
          <w:sz w:val="23"/>
          <w:szCs w:val="23"/>
        </w:rPr>
        <w:t>acima descritos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36667F">
        <w:rPr>
          <w:rFonts w:ascii="Arial" w:hAnsi="Arial" w:cs="Arial"/>
          <w:sz w:val="23"/>
          <w:szCs w:val="23"/>
        </w:rPr>
        <w:t>I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03932446" w14:textId="77777777" w:rsidR="00FE515F" w:rsidRPr="00FE515F" w:rsidRDefault="00FE515F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D73901D" w14:textId="5BC196EA" w:rsidR="00180CDC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="000D41D2"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R$ 59.906,02</w:t>
      </w:r>
      <w:r w:rsidR="000D41D2" w:rsidRPr="00FE515F"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14:paraId="2CC76BFF" w14:textId="7986D912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54273A9" w14:textId="6A1FBC0D" w:rsidR="00D81A44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14:paraId="5E7E224D" w14:textId="413017F7" w:rsidR="00D81A44" w:rsidRPr="00FE515F" w:rsidRDefault="00D81A4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Art. 75 inciso </w:t>
      </w:r>
      <w:r w:rsidR="0036667F">
        <w:rPr>
          <w:rFonts w:ascii="Arial" w:eastAsia="Times New Roman" w:hAnsi="Arial" w:cs="Arial"/>
          <w:i/>
          <w:sz w:val="23"/>
          <w:szCs w:val="23"/>
        </w:rPr>
        <w:t>I</w:t>
      </w:r>
      <w:r>
        <w:rPr>
          <w:rFonts w:ascii="Arial" w:eastAsia="Times New Roman" w:hAnsi="Arial" w:cs="Arial"/>
          <w:i/>
          <w:sz w:val="23"/>
          <w:szCs w:val="23"/>
        </w:rPr>
        <w:t xml:space="preserve">I R$ </w:t>
      </w:r>
      <w:r w:rsidR="0036667F">
        <w:rPr>
          <w:rFonts w:ascii="Arial" w:eastAsia="Times New Roman" w:hAnsi="Arial" w:cs="Arial"/>
          <w:i/>
          <w:sz w:val="23"/>
          <w:szCs w:val="23"/>
        </w:rPr>
        <w:t>41.320,00</w:t>
      </w:r>
      <w:r>
        <w:rPr>
          <w:rFonts w:ascii="Arial" w:eastAsia="Times New Roman" w:hAnsi="Arial" w:cs="Arial"/>
          <w:i/>
          <w:sz w:val="23"/>
          <w:szCs w:val="23"/>
        </w:rPr>
        <w:t xml:space="preserve"> (</w:t>
      </w:r>
      <w:r w:rsidR="0036667F">
        <w:rPr>
          <w:rFonts w:ascii="Arial" w:eastAsia="Times New Roman" w:hAnsi="Arial" w:cs="Arial"/>
          <w:i/>
          <w:sz w:val="23"/>
          <w:szCs w:val="23"/>
        </w:rPr>
        <w:t>quarenta e um mil trezentos e vinte reais</w:t>
      </w:r>
      <w:r>
        <w:rPr>
          <w:rFonts w:ascii="Arial" w:eastAsia="Times New Roman" w:hAnsi="Arial" w:cs="Arial"/>
          <w:i/>
          <w:sz w:val="23"/>
          <w:szCs w:val="23"/>
        </w:rPr>
        <w:t>).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29908CC1" w:rsidR="00180CDC" w:rsidRPr="00FE515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DE51F2" w:rsidRPr="00DE51F2">
        <w:rPr>
          <w:rFonts w:ascii="Arial" w:hAnsi="Arial" w:cs="Arial"/>
          <w:bCs/>
        </w:rPr>
        <w:t>SERVIÇOS DE MANUTENÇÃO E REPAROS EM ESCOLAS MUNICIPAIS E ESPAÇOS MUNICIPAIS.</w:t>
      </w:r>
    </w:p>
    <w:p w14:paraId="2BD5CE18" w14:textId="41EA15C0" w:rsidR="00DD41C8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DE51F2">
        <w:rPr>
          <w:rFonts w:ascii="Arial" w:hAnsi="Arial" w:cs="Arial"/>
          <w:sz w:val="23"/>
          <w:szCs w:val="23"/>
        </w:rPr>
        <w:t>Os serviços</w:t>
      </w:r>
      <w:r w:rsidR="00F75045" w:rsidRPr="00FE515F">
        <w:rPr>
          <w:rFonts w:ascii="Arial" w:hAnsi="Arial" w:cs="Arial"/>
          <w:sz w:val="23"/>
          <w:szCs w:val="23"/>
        </w:rPr>
        <w:t xml:space="preserve"> dever</w:t>
      </w:r>
      <w:r w:rsidR="00DE51F2">
        <w:rPr>
          <w:rFonts w:ascii="Arial" w:hAnsi="Arial" w:cs="Arial"/>
          <w:sz w:val="23"/>
          <w:szCs w:val="23"/>
        </w:rPr>
        <w:t>ão</w:t>
      </w:r>
      <w:r w:rsidR="00F75045" w:rsidRPr="00FE515F">
        <w:rPr>
          <w:rFonts w:ascii="Arial" w:hAnsi="Arial" w:cs="Arial"/>
          <w:sz w:val="23"/>
          <w:szCs w:val="23"/>
        </w:rPr>
        <w:t xml:space="preserve"> ser </w:t>
      </w:r>
      <w:r w:rsidR="00DE51F2" w:rsidRPr="00FE515F">
        <w:rPr>
          <w:rFonts w:ascii="Arial" w:hAnsi="Arial" w:cs="Arial"/>
          <w:sz w:val="23"/>
          <w:szCs w:val="23"/>
        </w:rPr>
        <w:t>realizados</w:t>
      </w:r>
      <w:r w:rsidR="00F75045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81A44">
        <w:rPr>
          <w:rFonts w:ascii="Arial" w:hAnsi="Arial" w:cs="Arial"/>
          <w:sz w:val="23"/>
          <w:szCs w:val="23"/>
        </w:rPr>
        <w:t xml:space="preserve">, e os serviços devem ser prestados e executados em um prazo máximo de </w:t>
      </w:r>
      <w:r w:rsidR="00DE51F2">
        <w:rPr>
          <w:rFonts w:ascii="Arial" w:hAnsi="Arial" w:cs="Arial"/>
          <w:sz w:val="23"/>
          <w:szCs w:val="23"/>
        </w:rPr>
        <w:t>60</w:t>
      </w:r>
      <w:r w:rsidR="00D81A44">
        <w:rPr>
          <w:rFonts w:ascii="Arial" w:hAnsi="Arial" w:cs="Arial"/>
          <w:sz w:val="23"/>
          <w:szCs w:val="23"/>
        </w:rPr>
        <w:t xml:space="preserve"> dias</w:t>
      </w:r>
      <w:r w:rsidR="00DE51F2">
        <w:rPr>
          <w:rFonts w:ascii="Arial" w:hAnsi="Arial" w:cs="Arial"/>
          <w:sz w:val="23"/>
          <w:szCs w:val="23"/>
        </w:rPr>
        <w:t xml:space="preserve"> após solicitado</w:t>
      </w:r>
      <w:r w:rsidR="00D81A44">
        <w:rPr>
          <w:rFonts w:ascii="Arial" w:hAnsi="Arial" w:cs="Arial"/>
          <w:sz w:val="23"/>
          <w:szCs w:val="23"/>
        </w:rPr>
        <w:t>.</w:t>
      </w:r>
    </w:p>
    <w:p w14:paraId="15F1525B" w14:textId="77777777" w:rsidR="0050797B" w:rsidRPr="00FE515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7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8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9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65A2EF7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FE515F">
        <w:rPr>
          <w:rFonts w:ascii="Arial" w:hAnsi="Arial" w:cs="Arial"/>
          <w:sz w:val="23"/>
          <w:szCs w:val="23"/>
        </w:rPr>
        <w:t>bens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</w:t>
      </w:r>
      <w:r w:rsidR="00D81A44">
        <w:rPr>
          <w:rFonts w:ascii="Arial" w:hAnsi="Arial" w:cs="Arial"/>
          <w:sz w:val="23"/>
          <w:szCs w:val="23"/>
        </w:rPr>
        <w:t>, e executar os referidos serviços.</w:t>
      </w:r>
    </w:p>
    <w:p w14:paraId="30990E5E" w14:textId="1DD2BC2A" w:rsidR="002036C1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>oferecer produtos/bens</w:t>
      </w:r>
      <w:r w:rsidR="00A14FEE">
        <w:rPr>
          <w:rFonts w:ascii="Arial" w:hAnsi="Arial" w:cs="Arial"/>
          <w:sz w:val="23"/>
          <w:szCs w:val="23"/>
        </w:rPr>
        <w:t xml:space="preserve"> e serviços</w:t>
      </w:r>
      <w:r w:rsidR="00F75045" w:rsidRPr="00FE515F">
        <w:rPr>
          <w:rFonts w:ascii="Arial" w:hAnsi="Arial" w:cs="Arial"/>
          <w:sz w:val="23"/>
          <w:szCs w:val="23"/>
        </w:rPr>
        <w:t xml:space="preserve">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7A2B816B" w14:textId="593A277E" w:rsidR="00D81A44" w:rsidRPr="00FE515F" w:rsidRDefault="00D81A44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</w:t>
      </w:r>
      <w:r>
        <w:rPr>
          <w:rFonts w:ascii="Arial" w:hAnsi="Arial" w:cs="Arial"/>
          <w:sz w:val="23"/>
          <w:szCs w:val="23"/>
        </w:rPr>
        <w:t xml:space="preserve">1.3 O mesmo deve dar garantia e efetuar futuras manutenções que venham a surgir por um </w:t>
      </w:r>
      <w:r w:rsidR="00213619">
        <w:rPr>
          <w:rFonts w:ascii="Arial" w:hAnsi="Arial" w:cs="Arial"/>
          <w:sz w:val="23"/>
          <w:szCs w:val="23"/>
        </w:rPr>
        <w:t>período de 1 ano.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462D7C2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213619">
        <w:rPr>
          <w:rFonts w:ascii="Arial" w:hAnsi="Arial" w:cs="Arial"/>
          <w:sz w:val="23"/>
          <w:szCs w:val="23"/>
        </w:rPr>
        <w:t>de Obra e serviço de Engenharia</w:t>
      </w:r>
      <w:r w:rsidR="000E59C5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FE515F">
        <w:rPr>
          <w:rFonts w:ascii="Arial" w:hAnsi="Arial" w:cs="Arial"/>
          <w:sz w:val="23"/>
          <w:szCs w:val="23"/>
        </w:rPr>
        <w:t>entrega dos mesmos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355AD375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>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entregue </w:t>
      </w:r>
      <w:r w:rsidR="00783470">
        <w:rPr>
          <w:rFonts w:ascii="Arial" w:hAnsi="Arial" w:cs="Arial"/>
          <w:sz w:val="23"/>
          <w:szCs w:val="23"/>
        </w:rPr>
        <w:t xml:space="preserve">em no máximo </w:t>
      </w:r>
      <w:r w:rsidR="00A14FEE">
        <w:rPr>
          <w:rFonts w:ascii="Arial" w:hAnsi="Arial" w:cs="Arial"/>
          <w:sz w:val="23"/>
          <w:szCs w:val="23"/>
        </w:rPr>
        <w:t>60</w:t>
      </w:r>
      <w:r w:rsidR="00783470">
        <w:rPr>
          <w:rFonts w:ascii="Arial" w:hAnsi="Arial" w:cs="Arial"/>
          <w:sz w:val="23"/>
          <w:szCs w:val="23"/>
        </w:rPr>
        <w:t xml:space="preserve"> dias </w:t>
      </w:r>
      <w:r w:rsidR="00A14FEE">
        <w:rPr>
          <w:rFonts w:ascii="Arial" w:hAnsi="Arial" w:cs="Arial"/>
          <w:sz w:val="23"/>
          <w:szCs w:val="23"/>
        </w:rPr>
        <w:t>após ordem de serviço emitidos</w:t>
      </w:r>
      <w:r w:rsidR="00783470">
        <w:rPr>
          <w:rFonts w:ascii="Arial" w:hAnsi="Arial" w:cs="Arial"/>
          <w:sz w:val="23"/>
          <w:szCs w:val="23"/>
        </w:rPr>
        <w:t>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</w:t>
      </w:r>
      <w:r w:rsidR="00A14FEE">
        <w:rPr>
          <w:rFonts w:ascii="Arial" w:hAnsi="Arial" w:cs="Arial"/>
          <w:sz w:val="23"/>
          <w:szCs w:val="23"/>
        </w:rPr>
        <w:t>de 180 dias após sua assinatura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67F672EA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F75045" w:rsidRPr="00FE515F">
        <w:rPr>
          <w:rFonts w:ascii="Arial" w:hAnsi="Arial" w:cs="Arial"/>
          <w:sz w:val="23"/>
          <w:szCs w:val="23"/>
        </w:rPr>
        <w:t>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>, na</w:t>
      </w:r>
      <w:r w:rsidR="00A14FEE">
        <w:rPr>
          <w:rFonts w:ascii="Arial" w:hAnsi="Arial" w:cs="Arial"/>
          <w:sz w:val="23"/>
          <w:szCs w:val="23"/>
        </w:rPr>
        <w:t>s Escolas Municipais, paradas de Ônibus, Ginásio Municipal de Esportes e demais espaços da Secretaria Municipal de Educação.</w:t>
      </w: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441DD8AF" w:rsidR="00180CDC" w:rsidRPr="00DD6D0D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color w:val="auto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Para a perfeita </w:t>
      </w:r>
      <w:r w:rsidR="00F75045" w:rsidRPr="00DD6D0D">
        <w:rPr>
          <w:rFonts w:ascii="Arial" w:hAnsi="Arial" w:cs="Arial"/>
          <w:color w:val="auto"/>
          <w:sz w:val="23"/>
          <w:szCs w:val="23"/>
        </w:rPr>
        <w:t>entrega dos bens/produtos</w:t>
      </w:r>
      <w:r w:rsidR="005B78B0" w:rsidRPr="00DD6D0D">
        <w:rPr>
          <w:rFonts w:ascii="Arial" w:hAnsi="Arial" w:cs="Arial"/>
          <w:color w:val="auto"/>
          <w:sz w:val="23"/>
          <w:szCs w:val="23"/>
        </w:rPr>
        <w:t>,</w:t>
      </w:r>
      <w:r w:rsidR="00031657">
        <w:rPr>
          <w:rFonts w:ascii="Arial" w:hAnsi="Arial" w:cs="Arial"/>
          <w:color w:val="auto"/>
          <w:sz w:val="23"/>
          <w:szCs w:val="23"/>
        </w:rPr>
        <w:t xml:space="preserve"> serviços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a Contratada deverá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disponibilizar profissionais para os serviços ora demandados, e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equipamentos, ferramentas e utensílios necessários, nas quan</w:t>
      </w:r>
      <w:r w:rsidR="002036C1" w:rsidRPr="00DD6D0D">
        <w:rPr>
          <w:rFonts w:ascii="Arial" w:hAnsi="Arial" w:cs="Arial"/>
          <w:color w:val="auto"/>
          <w:sz w:val="23"/>
          <w:szCs w:val="23"/>
        </w:rPr>
        <w:t>ti</w:t>
      </w:r>
      <w:r w:rsidR="005B78B0" w:rsidRPr="00DD6D0D">
        <w:rPr>
          <w:rFonts w:ascii="Arial" w:hAnsi="Arial" w:cs="Arial"/>
          <w:color w:val="auto"/>
          <w:sz w:val="23"/>
          <w:szCs w:val="23"/>
        </w:rPr>
        <w:t>dades es</w:t>
      </w:r>
      <w:r w:rsidR="002036C1" w:rsidRPr="00DD6D0D">
        <w:rPr>
          <w:rFonts w:ascii="Arial" w:hAnsi="Arial" w:cs="Arial"/>
          <w:color w:val="auto"/>
          <w:sz w:val="23"/>
          <w:szCs w:val="23"/>
        </w:rPr>
        <w:t>ti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madas e qualidades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necessária para os serviços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, promovendo a </w:t>
      </w:r>
      <w:r w:rsidR="00A14FEE" w:rsidRPr="00DD6D0D">
        <w:rPr>
          <w:rFonts w:ascii="Arial" w:hAnsi="Arial" w:cs="Arial"/>
          <w:color w:val="auto"/>
          <w:sz w:val="23"/>
          <w:szCs w:val="23"/>
        </w:rPr>
        <w:t>manutenção corretiva em caso de falha e ou erro na execução, e</w:t>
      </w:r>
      <w:r w:rsidR="005B78B0" w:rsidRPr="00DD6D0D">
        <w:rPr>
          <w:rFonts w:ascii="Arial" w:hAnsi="Arial" w:cs="Arial"/>
          <w:color w:val="auto"/>
          <w:sz w:val="23"/>
          <w:szCs w:val="23"/>
        </w:rPr>
        <w:t xml:space="preserve"> quando </w:t>
      </w:r>
      <w:r w:rsidR="00783470" w:rsidRPr="00DD6D0D">
        <w:rPr>
          <w:rFonts w:ascii="Arial" w:hAnsi="Arial" w:cs="Arial"/>
          <w:color w:val="auto"/>
          <w:sz w:val="23"/>
          <w:szCs w:val="23"/>
        </w:rPr>
        <w:t>necessário, e sua devida manutenção quando da apresentação de defeitos</w:t>
      </w:r>
      <w:r w:rsidR="00213619" w:rsidRPr="00DD6D0D">
        <w:rPr>
          <w:rFonts w:ascii="Arial" w:hAnsi="Arial" w:cs="Arial"/>
          <w:color w:val="auto"/>
          <w:sz w:val="23"/>
          <w:szCs w:val="23"/>
        </w:rPr>
        <w:t>, e ainda efetuar todo os serviços e instalações necessárias</w:t>
      </w:r>
      <w:r w:rsidR="005B78B0" w:rsidRPr="00DD6D0D">
        <w:rPr>
          <w:rFonts w:ascii="Arial" w:hAnsi="Arial" w:cs="Arial"/>
          <w:color w:val="auto"/>
          <w:sz w:val="23"/>
          <w:szCs w:val="23"/>
        </w:rPr>
        <w:t>:</w:t>
      </w:r>
    </w:p>
    <w:p w14:paraId="38CC1E32" w14:textId="39FFE02F" w:rsidR="00180CDC" w:rsidRPr="00DD6D0D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color w:val="auto"/>
          <w:sz w:val="23"/>
          <w:szCs w:val="23"/>
        </w:rPr>
      </w:pPr>
      <w:r w:rsidRPr="00DD6D0D">
        <w:rPr>
          <w:rFonts w:ascii="Arial" w:hAnsi="Arial" w:cs="Arial"/>
          <w:b/>
          <w:bCs/>
          <w:color w:val="auto"/>
          <w:sz w:val="23"/>
          <w:szCs w:val="23"/>
        </w:rPr>
        <w:t>7</w:t>
      </w:r>
      <w:r w:rsidR="005B78B0" w:rsidRPr="00DD6D0D">
        <w:rPr>
          <w:rFonts w:ascii="Arial" w:hAnsi="Arial" w:cs="Arial"/>
          <w:b/>
          <w:bCs/>
          <w:color w:val="auto"/>
          <w:sz w:val="23"/>
          <w:szCs w:val="23"/>
        </w:rPr>
        <w:t>.1.1.</w:t>
      </w:r>
      <w:r w:rsidR="002036C1" w:rsidRPr="00DD6D0D">
        <w:rPr>
          <w:rFonts w:ascii="Arial" w:hAnsi="Arial" w:cs="Arial"/>
          <w:color w:val="auto"/>
          <w:sz w:val="23"/>
          <w:szCs w:val="23"/>
        </w:rPr>
        <w:t xml:space="preserve"> </w:t>
      </w:r>
      <w:r w:rsidR="000E59C5" w:rsidRPr="00DD6D0D">
        <w:rPr>
          <w:rFonts w:ascii="Arial" w:hAnsi="Arial" w:cs="Arial"/>
          <w:color w:val="auto"/>
          <w:sz w:val="23"/>
          <w:szCs w:val="23"/>
        </w:rPr>
        <w:t>Serviços</w:t>
      </w:r>
      <w:r w:rsidR="00F75045" w:rsidRPr="00DD6D0D">
        <w:rPr>
          <w:rFonts w:ascii="Arial" w:hAnsi="Arial" w:cs="Arial"/>
          <w:color w:val="auto"/>
          <w:sz w:val="23"/>
          <w:szCs w:val="23"/>
        </w:rPr>
        <w:t xml:space="preserve"> necessários e em boa qualidade</w:t>
      </w:r>
      <w:r w:rsidR="00701C24" w:rsidRPr="00DD6D0D">
        <w:rPr>
          <w:rFonts w:ascii="Arial" w:hAnsi="Arial" w:cs="Arial"/>
          <w:color w:val="auto"/>
          <w:sz w:val="23"/>
          <w:szCs w:val="23"/>
        </w:rPr>
        <w:t xml:space="preserve"> para atender a demanda do </w:t>
      </w:r>
      <w:r w:rsidR="004838A3" w:rsidRPr="00DD6D0D">
        <w:rPr>
          <w:rFonts w:ascii="Arial" w:hAnsi="Arial" w:cs="Arial"/>
          <w:color w:val="auto"/>
          <w:sz w:val="23"/>
          <w:szCs w:val="23"/>
        </w:rPr>
        <w:t>objeto</w:t>
      </w:r>
      <w:r w:rsidR="00701C24" w:rsidRPr="00DD6D0D">
        <w:rPr>
          <w:rFonts w:ascii="Arial" w:hAnsi="Arial" w:cs="Arial"/>
          <w:color w:val="auto"/>
          <w:sz w:val="23"/>
          <w:szCs w:val="23"/>
        </w:rPr>
        <w:t>;</w:t>
      </w:r>
    </w:p>
    <w:p w14:paraId="09AF39F6" w14:textId="1376D263" w:rsidR="00180CDC" w:rsidRPr="00FE515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DD6D0D">
        <w:rPr>
          <w:rFonts w:ascii="Arial" w:hAnsi="Arial" w:cs="Arial"/>
          <w:b/>
          <w:bCs/>
          <w:color w:val="auto"/>
          <w:sz w:val="23"/>
          <w:szCs w:val="23"/>
        </w:rPr>
        <w:t>7</w:t>
      </w:r>
      <w:r w:rsidR="005B78B0" w:rsidRPr="00DD6D0D">
        <w:rPr>
          <w:rFonts w:ascii="Arial" w:hAnsi="Arial" w:cs="Arial"/>
          <w:b/>
          <w:bCs/>
          <w:color w:val="auto"/>
          <w:sz w:val="23"/>
          <w:szCs w:val="23"/>
        </w:rPr>
        <w:t>.1.2.</w:t>
      </w:r>
      <w:r w:rsidR="002036C1" w:rsidRPr="00DD6D0D">
        <w:rPr>
          <w:rFonts w:ascii="Arial" w:hAnsi="Arial" w:cs="Arial"/>
          <w:color w:val="auto"/>
          <w:sz w:val="23"/>
          <w:szCs w:val="23"/>
        </w:rPr>
        <w:t xml:space="preserve"> </w:t>
      </w:r>
      <w:r w:rsidR="00F75045" w:rsidRPr="00DD6D0D">
        <w:rPr>
          <w:rFonts w:ascii="Arial" w:hAnsi="Arial" w:cs="Arial"/>
          <w:color w:val="auto"/>
          <w:sz w:val="23"/>
          <w:szCs w:val="23"/>
        </w:rPr>
        <w:t xml:space="preserve">Profissionais </w:t>
      </w:r>
      <w:r w:rsidR="00F75045" w:rsidRPr="00FE515F">
        <w:rPr>
          <w:rFonts w:ascii="Arial" w:hAnsi="Arial" w:cs="Arial"/>
          <w:sz w:val="23"/>
          <w:szCs w:val="23"/>
        </w:rPr>
        <w:t>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2B3655E0" w14:textId="22D6E057" w:rsidR="00213619" w:rsidRDefault="0067378D" w:rsidP="0021361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31657" w:rsidRPr="00031657">
        <w:rPr>
          <w:rFonts w:ascii="Arial" w:hAnsi="Arial" w:cs="Arial"/>
          <w:sz w:val="23"/>
          <w:szCs w:val="23"/>
        </w:rPr>
        <w:t xml:space="preserve">SERVIÇOS DE MANUTENÇÃO E REPAROS EM ESCOLAS MUNICIPAIS E ESPAÇOS </w:t>
      </w:r>
      <w:r w:rsidR="00031657">
        <w:rPr>
          <w:rFonts w:ascii="Arial" w:hAnsi="Arial" w:cs="Arial"/>
          <w:sz w:val="23"/>
          <w:szCs w:val="23"/>
        </w:rPr>
        <w:t xml:space="preserve">PÚBLICOS </w:t>
      </w:r>
      <w:r w:rsidR="00031657" w:rsidRPr="00031657">
        <w:rPr>
          <w:rFonts w:ascii="Arial" w:hAnsi="Arial" w:cs="Arial"/>
          <w:sz w:val="23"/>
          <w:szCs w:val="23"/>
        </w:rPr>
        <w:t>MUNICIPAIS.</w:t>
      </w:r>
      <w:r w:rsidR="00213619">
        <w:rPr>
          <w:rFonts w:ascii="Arial" w:hAnsi="Arial" w:cs="Arial"/>
          <w:sz w:val="23"/>
          <w:szCs w:val="23"/>
        </w:rPr>
        <w:t xml:space="preserve"> pois temos </w:t>
      </w:r>
      <w:r w:rsidR="00031657">
        <w:rPr>
          <w:rFonts w:ascii="Arial" w:hAnsi="Arial" w:cs="Arial"/>
          <w:sz w:val="23"/>
          <w:szCs w:val="23"/>
        </w:rPr>
        <w:t xml:space="preserve">muitas demandas de melhorias que são </w:t>
      </w:r>
      <w:proofErr w:type="gramStart"/>
      <w:r w:rsidR="00031657">
        <w:rPr>
          <w:rFonts w:ascii="Arial" w:hAnsi="Arial" w:cs="Arial"/>
          <w:sz w:val="23"/>
          <w:szCs w:val="23"/>
        </w:rPr>
        <w:t>indispensável</w:t>
      </w:r>
      <w:proofErr w:type="gramEnd"/>
      <w:r w:rsidR="00031657">
        <w:rPr>
          <w:rFonts w:ascii="Arial" w:hAnsi="Arial" w:cs="Arial"/>
          <w:sz w:val="23"/>
          <w:szCs w:val="23"/>
        </w:rPr>
        <w:t xml:space="preserve"> e a não realização das melhorias demandadas</w:t>
      </w:r>
      <w:r w:rsidR="00213619">
        <w:rPr>
          <w:rFonts w:ascii="Arial" w:hAnsi="Arial" w:cs="Arial"/>
          <w:sz w:val="23"/>
          <w:szCs w:val="23"/>
        </w:rPr>
        <w:t xml:space="preserve"> vem prejudicando o atendimento ao </w:t>
      </w:r>
      <w:r w:rsidR="00031657">
        <w:rPr>
          <w:rFonts w:ascii="Arial" w:hAnsi="Arial" w:cs="Arial"/>
          <w:sz w:val="23"/>
          <w:szCs w:val="23"/>
        </w:rPr>
        <w:t>público</w:t>
      </w:r>
      <w:r w:rsidR="00213619">
        <w:rPr>
          <w:rFonts w:ascii="Arial" w:hAnsi="Arial" w:cs="Arial"/>
          <w:sz w:val="23"/>
          <w:szCs w:val="23"/>
        </w:rPr>
        <w:t xml:space="preserve"> e danificando estruturas internas de</w:t>
      </w:r>
      <w:r w:rsidR="00031657">
        <w:rPr>
          <w:rFonts w:ascii="Arial" w:hAnsi="Arial" w:cs="Arial"/>
          <w:sz w:val="23"/>
          <w:szCs w:val="23"/>
        </w:rPr>
        <w:t xml:space="preserve"> nossas escolas e demais espaços públicos</w:t>
      </w:r>
      <w:r w:rsidR="00213619">
        <w:rPr>
          <w:rFonts w:ascii="Arial" w:hAnsi="Arial" w:cs="Arial"/>
          <w:sz w:val="23"/>
          <w:szCs w:val="23"/>
        </w:rPr>
        <w:t>.</w:t>
      </w:r>
      <w:r w:rsidR="00031657">
        <w:rPr>
          <w:rFonts w:ascii="Arial" w:hAnsi="Arial" w:cs="Arial"/>
          <w:sz w:val="23"/>
          <w:szCs w:val="23"/>
        </w:rPr>
        <w:t xml:space="preserve"> </w:t>
      </w:r>
    </w:p>
    <w:p w14:paraId="6B5221F8" w14:textId="37B1C849" w:rsidR="00180CDC" w:rsidRPr="00FE515F" w:rsidRDefault="0067378D" w:rsidP="0021361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da </w:t>
      </w:r>
      <w:r w:rsidR="000407D3">
        <w:rPr>
          <w:rFonts w:ascii="Arial" w:hAnsi="Arial" w:cs="Arial"/>
          <w:sz w:val="23"/>
          <w:szCs w:val="23"/>
        </w:rPr>
        <w:t xml:space="preserve">comunidade a todos os espaços </w:t>
      </w:r>
      <w:r w:rsidR="00031657">
        <w:rPr>
          <w:rFonts w:ascii="Arial" w:hAnsi="Arial" w:cs="Arial"/>
          <w:sz w:val="23"/>
          <w:szCs w:val="23"/>
        </w:rPr>
        <w:t xml:space="preserve">das escolas municipais e demais espaços públicos </w:t>
      </w:r>
      <w:r w:rsidR="000407D3">
        <w:rPr>
          <w:rFonts w:ascii="Arial" w:hAnsi="Arial" w:cs="Arial"/>
          <w:sz w:val="23"/>
          <w:szCs w:val="23"/>
        </w:rPr>
        <w:t xml:space="preserve">do município, dar </w:t>
      </w:r>
      <w:r w:rsidR="00031657">
        <w:rPr>
          <w:rFonts w:ascii="Arial" w:hAnsi="Arial" w:cs="Arial"/>
          <w:sz w:val="23"/>
          <w:szCs w:val="23"/>
        </w:rPr>
        <w:t>os nossos munícipes</w:t>
      </w:r>
      <w:r w:rsidR="000407D3">
        <w:rPr>
          <w:rFonts w:ascii="Arial" w:hAnsi="Arial" w:cs="Arial"/>
          <w:sz w:val="23"/>
          <w:szCs w:val="23"/>
        </w:rPr>
        <w:t xml:space="preserve"> um espaço de boas condições de usabilidade</w:t>
      </w:r>
      <w:r w:rsidR="00213619">
        <w:rPr>
          <w:rFonts w:ascii="Arial" w:hAnsi="Arial" w:cs="Arial"/>
          <w:sz w:val="23"/>
          <w:szCs w:val="23"/>
        </w:rPr>
        <w:t xml:space="preserve"> e segurança para quem busca </w:t>
      </w:r>
      <w:r w:rsidR="00031657">
        <w:rPr>
          <w:rFonts w:ascii="Arial" w:hAnsi="Arial" w:cs="Arial"/>
          <w:sz w:val="23"/>
          <w:szCs w:val="23"/>
        </w:rPr>
        <w:t>nossas escolas e espaços públicos</w:t>
      </w:r>
      <w:r w:rsidR="000407D3">
        <w:rPr>
          <w:rFonts w:ascii="Arial" w:hAnsi="Arial" w:cs="Arial"/>
          <w:sz w:val="23"/>
          <w:szCs w:val="23"/>
        </w:rPr>
        <w:t>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031657">
      <w:pPr>
        <w:spacing w:after="0" w:line="240" w:lineRule="auto"/>
        <w:ind w:left="284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29D08B89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Os serviços</w:t>
      </w:r>
      <w:r w:rsidR="00EE4549" w:rsidRPr="00FE515F">
        <w:rPr>
          <w:rFonts w:ascii="Arial" w:hAnsi="Arial" w:cs="Arial"/>
          <w:sz w:val="23"/>
          <w:szCs w:val="23"/>
        </w:rPr>
        <w:t>/bens e/ou produtos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0407D3">
        <w:rPr>
          <w:rFonts w:ascii="Arial" w:hAnsi="Arial" w:cs="Arial"/>
          <w:sz w:val="23"/>
          <w:szCs w:val="23"/>
        </w:rPr>
        <w:t xml:space="preserve"> e a empresa contatada terá </w:t>
      </w:r>
      <w:r w:rsidR="00031657">
        <w:rPr>
          <w:rFonts w:ascii="Arial" w:hAnsi="Arial" w:cs="Arial"/>
          <w:sz w:val="23"/>
          <w:szCs w:val="23"/>
        </w:rPr>
        <w:t>60</w:t>
      </w:r>
      <w:r w:rsidR="000407D3">
        <w:rPr>
          <w:rFonts w:ascii="Arial" w:hAnsi="Arial" w:cs="Arial"/>
          <w:sz w:val="23"/>
          <w:szCs w:val="23"/>
        </w:rPr>
        <w:t xml:space="preserve"> dias para a realização dos serviços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74A8E67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FE515F">
        <w:rPr>
          <w:rFonts w:ascii="Arial" w:hAnsi="Arial" w:cs="Arial"/>
          <w:sz w:val="23"/>
          <w:szCs w:val="23"/>
        </w:rPr>
        <w:t>bens/produtos entregues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5A39CA8E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</w:t>
      </w:r>
      <w:r w:rsidR="00031657">
        <w:rPr>
          <w:rFonts w:ascii="Arial" w:hAnsi="Arial" w:cs="Arial"/>
          <w:sz w:val="23"/>
          <w:szCs w:val="23"/>
        </w:rPr>
        <w:t>prestador de serviço</w:t>
      </w:r>
      <w:r w:rsidR="005B78B0" w:rsidRPr="00FE515F">
        <w:rPr>
          <w:rFonts w:ascii="Arial" w:hAnsi="Arial" w:cs="Arial"/>
          <w:sz w:val="23"/>
          <w:szCs w:val="23"/>
        </w:rPr>
        <w:t xml:space="preserve">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3FE922C9" w:rsidR="00EC3852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3CD8CC2A" w14:textId="7564B72B" w:rsidR="0041564E" w:rsidRDefault="0041564E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33D3EE53" w14:textId="77777777" w:rsidR="00213619" w:rsidRDefault="00213619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5843449" w14:textId="77777777" w:rsidR="00213619" w:rsidRDefault="00213619" w:rsidP="002136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lastRenderedPageBreak/>
        <w:t xml:space="preserve">Decreto nª 12.807/2025 </w:t>
      </w:r>
    </w:p>
    <w:p w14:paraId="7BD6AAD5" w14:textId="646AA9D0" w:rsidR="00213619" w:rsidRPr="00FE515F" w:rsidRDefault="00213619" w:rsidP="002136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 inciso I, R$ 130.984,20 (cento e trinta mil novecentos e oitenta e quatro reais com vinte centavos).</w:t>
      </w:r>
    </w:p>
    <w:p w14:paraId="25A852FB" w14:textId="77777777" w:rsidR="00213619" w:rsidRDefault="00213619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4FC55C1E" w14:textId="77777777" w:rsidR="00066C10" w:rsidRPr="00FE515F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0"/>
          <w:szCs w:val="20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6A7A7C3C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BC3FC6" w:rsidRPr="00FE515F">
        <w:rPr>
          <w:rFonts w:ascii="Arial" w:hAnsi="Arial" w:cs="Arial"/>
          <w:sz w:val="23"/>
          <w:szCs w:val="23"/>
        </w:rPr>
        <w:t xml:space="preserve">a necessidade de manter </w:t>
      </w:r>
      <w:r w:rsidR="00DF283D" w:rsidRPr="00FE515F">
        <w:rPr>
          <w:rFonts w:ascii="Arial" w:hAnsi="Arial" w:cs="Arial"/>
          <w:sz w:val="23"/>
          <w:szCs w:val="23"/>
        </w:rPr>
        <w:t>em boas condições os espaços públicos municipais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lastRenderedPageBreak/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7E54E01C" w:rsidR="000407D3" w:rsidRPr="00031657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 xml:space="preserve">Documentos pessoal </w:t>
      </w:r>
      <w:r w:rsidR="00031657">
        <w:rPr>
          <w:rFonts w:ascii="Arial" w:hAnsi="Arial" w:cs="Arial"/>
          <w:color w:val="auto"/>
          <w:sz w:val="22"/>
        </w:rPr>
        <w:t>dos representantes</w:t>
      </w:r>
      <w:r>
        <w:rPr>
          <w:rFonts w:ascii="Arial" w:hAnsi="Arial" w:cs="Arial"/>
          <w:color w:val="auto"/>
          <w:sz w:val="22"/>
        </w:rPr>
        <w:t xml:space="preserve"> da empresa (CNH e ou RG)</w:t>
      </w:r>
    </w:p>
    <w:p w14:paraId="06FE79BB" w14:textId="77777777" w:rsidR="00031657" w:rsidRPr="00D06F42" w:rsidRDefault="00031657" w:rsidP="00031657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  <w:szCs w:val="22"/>
        </w:rPr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19268125" w:rsidR="00180CDC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75351C5D" w14:textId="118E1745" w:rsidR="00031657" w:rsidRDefault="00031657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31F72BC" w14:textId="77777777" w:rsidR="00031657" w:rsidRPr="00FE515F" w:rsidRDefault="00031657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42A3F968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</w:t>
      </w:r>
      <w:r w:rsidR="003359A4">
        <w:rPr>
          <w:rFonts w:ascii="Arial" w:hAnsi="Arial" w:cs="Arial"/>
          <w:sz w:val="23"/>
          <w:szCs w:val="23"/>
        </w:rPr>
        <w:t>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798FF745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</w:t>
      </w:r>
      <w:hyperlink r:id="rId10" w:history="1">
        <w:r w:rsidR="00031657" w:rsidRPr="00344EAB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031657">
        <w:rPr>
          <w:rFonts w:ascii="Arial" w:hAnsi="Arial" w:cs="Arial"/>
          <w:sz w:val="23"/>
          <w:szCs w:val="23"/>
        </w:rPr>
        <w:t xml:space="preserve"> ou entregues diretamente no departamento de licitações e contratos da Prefeitura Municipal de Lajeado do Bugre - RS</w:t>
      </w:r>
      <w:r w:rsidRPr="00FE515F">
        <w:rPr>
          <w:rFonts w:ascii="Arial" w:hAnsi="Arial" w:cs="Arial"/>
          <w:sz w:val="23"/>
          <w:szCs w:val="23"/>
        </w:rPr>
        <w:t xml:space="preserve">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031657">
        <w:rPr>
          <w:rFonts w:ascii="Arial" w:hAnsi="Arial" w:cs="Arial"/>
          <w:sz w:val="23"/>
          <w:szCs w:val="23"/>
        </w:rPr>
        <w:t>22</w:t>
      </w:r>
      <w:r w:rsidR="003359A4">
        <w:rPr>
          <w:rFonts w:ascii="Arial" w:hAnsi="Arial" w:cs="Arial"/>
          <w:sz w:val="23"/>
          <w:szCs w:val="23"/>
        </w:rPr>
        <w:t>/0</w:t>
      </w:r>
      <w:r w:rsidR="00031657">
        <w:rPr>
          <w:rFonts w:ascii="Arial" w:hAnsi="Arial" w:cs="Arial"/>
          <w:sz w:val="23"/>
          <w:szCs w:val="23"/>
        </w:rPr>
        <w:t>4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34D5B3E" w14:textId="6F277752" w:rsidR="005445E5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0407D3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031657">
        <w:rPr>
          <w:rFonts w:ascii="Arial" w:hAnsi="Arial" w:cs="Arial"/>
          <w:sz w:val="23"/>
          <w:szCs w:val="23"/>
        </w:rPr>
        <w:t>2</w:t>
      </w:r>
      <w:r w:rsidR="003359A4">
        <w:rPr>
          <w:rFonts w:ascii="Arial" w:hAnsi="Arial" w:cs="Arial"/>
          <w:sz w:val="23"/>
          <w:szCs w:val="23"/>
        </w:rPr>
        <w:t>2</w:t>
      </w:r>
      <w:r w:rsidR="000407D3">
        <w:rPr>
          <w:rFonts w:ascii="Arial" w:hAnsi="Arial" w:cs="Arial"/>
          <w:sz w:val="23"/>
          <w:szCs w:val="23"/>
        </w:rPr>
        <w:t>/0</w:t>
      </w:r>
      <w:r w:rsidR="00031657">
        <w:rPr>
          <w:rFonts w:ascii="Arial" w:hAnsi="Arial" w:cs="Arial"/>
          <w:sz w:val="23"/>
          <w:szCs w:val="23"/>
        </w:rPr>
        <w:t>4</w:t>
      </w:r>
      <w:r w:rsidR="000407D3">
        <w:rPr>
          <w:rFonts w:ascii="Arial" w:hAnsi="Arial" w:cs="Arial"/>
          <w:sz w:val="23"/>
          <w:szCs w:val="23"/>
        </w:rPr>
        <w:t>/202</w:t>
      </w:r>
      <w:r w:rsidR="003359A4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7B015407" w14:textId="58196825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1BD27E2" w14:textId="77777777" w:rsidR="00031657" w:rsidRDefault="00031657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3444A4D0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031657">
        <w:rPr>
          <w:rFonts w:ascii="Arial" w:eastAsia="Times New Roman" w:hAnsi="Arial" w:cs="Arial"/>
          <w:b/>
          <w:bCs/>
          <w:sz w:val="23"/>
          <w:szCs w:val="23"/>
        </w:rPr>
        <w:t>15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031657">
        <w:rPr>
          <w:rFonts w:ascii="Arial" w:eastAsia="Times New Roman" w:hAnsi="Arial" w:cs="Arial"/>
          <w:b/>
          <w:bCs/>
          <w:sz w:val="23"/>
          <w:szCs w:val="23"/>
        </w:rPr>
        <w:t>Abril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3359A4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48739043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  <w:bookmarkStart w:id="1" w:name="_GoBack"/>
      <w:bookmarkEnd w:id="1"/>
    </w:p>
    <w:p w14:paraId="147225DF" w14:textId="77777777" w:rsidR="00031657" w:rsidRDefault="00031657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013D39B" w:rsidR="00180CDC" w:rsidRPr="00FE515F" w:rsidRDefault="00031657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MAICO SILVA DE LIMA</w:t>
      </w:r>
    </w:p>
    <w:p w14:paraId="365F70E8" w14:textId="23A9C75D" w:rsidR="0077037B" w:rsidRPr="00031657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b/>
          <w:sz w:val="23"/>
          <w:szCs w:val="23"/>
        </w:rPr>
      </w:pPr>
      <w:r w:rsidRPr="00031657">
        <w:rPr>
          <w:rFonts w:ascii="Arial" w:hAnsi="Arial" w:cs="Arial"/>
          <w:b/>
          <w:sz w:val="23"/>
          <w:szCs w:val="23"/>
        </w:rPr>
        <w:t>Prefeito Municipal</w:t>
      </w:r>
    </w:p>
    <w:p w14:paraId="4351FD66" w14:textId="356263DD" w:rsidR="00031657" w:rsidRPr="00031657" w:rsidRDefault="00031657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b/>
          <w:sz w:val="23"/>
          <w:szCs w:val="23"/>
        </w:rPr>
      </w:pPr>
      <w:r w:rsidRPr="00031657">
        <w:rPr>
          <w:rFonts w:ascii="Arial" w:hAnsi="Arial" w:cs="Arial"/>
          <w:b/>
          <w:sz w:val="23"/>
          <w:szCs w:val="23"/>
        </w:rPr>
        <w:t xml:space="preserve">Em Exercício </w:t>
      </w:r>
    </w:p>
    <w:sectPr w:rsidR="00031657" w:rsidRPr="00031657" w:rsidSect="0077037B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D13528" w:rsidRDefault="00D13528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D13528" w:rsidRDefault="00D1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E593FAF" w:rsidR="00FE515F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 w:rsidR="00213619">
      <w:rPr>
        <w:rFonts w:ascii="Book Antiqua" w:hAnsi="Book Antiqua"/>
        <w:b/>
        <w:bCs/>
        <w:sz w:val="22"/>
        <w:szCs w:val="20"/>
      </w:rPr>
      <w:t>7</w:t>
    </w:r>
    <w:r w:rsidR="003359A4">
      <w:rPr>
        <w:rFonts w:ascii="Book Antiqua" w:hAnsi="Book Antiqua"/>
        <w:b/>
        <w:bCs/>
        <w:sz w:val="22"/>
        <w:szCs w:val="20"/>
      </w:rPr>
      <w:t>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FE515F" w:rsidRPr="00CA3E2B" w:rsidRDefault="00FE515F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FE515F" w:rsidRPr="0077037B" w:rsidRDefault="00FE515F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FE515F" w:rsidRDefault="00FE515F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D13528" w:rsidRDefault="00D13528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D13528" w:rsidRDefault="00D1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FE515F" w:rsidRDefault="00FE515F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ACF8B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FE515F" w:rsidRDefault="00FE515F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31657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156E2D"/>
    <w:rsid w:val="00180CDC"/>
    <w:rsid w:val="001823C2"/>
    <w:rsid w:val="001D7281"/>
    <w:rsid w:val="002036C1"/>
    <w:rsid w:val="00213619"/>
    <w:rsid w:val="002554C9"/>
    <w:rsid w:val="003359A4"/>
    <w:rsid w:val="003453F2"/>
    <w:rsid w:val="0036667F"/>
    <w:rsid w:val="00374408"/>
    <w:rsid w:val="00396598"/>
    <w:rsid w:val="0041564E"/>
    <w:rsid w:val="0045711B"/>
    <w:rsid w:val="004838A3"/>
    <w:rsid w:val="004E7974"/>
    <w:rsid w:val="0050797B"/>
    <w:rsid w:val="0054376F"/>
    <w:rsid w:val="005445E5"/>
    <w:rsid w:val="005B6DA5"/>
    <w:rsid w:val="005B78B0"/>
    <w:rsid w:val="005D047B"/>
    <w:rsid w:val="0067378D"/>
    <w:rsid w:val="006A049B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881EF2"/>
    <w:rsid w:val="00897961"/>
    <w:rsid w:val="00957196"/>
    <w:rsid w:val="009C216E"/>
    <w:rsid w:val="009C70AF"/>
    <w:rsid w:val="009D4448"/>
    <w:rsid w:val="00A14FEE"/>
    <w:rsid w:val="00A23928"/>
    <w:rsid w:val="00A5366B"/>
    <w:rsid w:val="00A909A2"/>
    <w:rsid w:val="00AB1C10"/>
    <w:rsid w:val="00AB62FF"/>
    <w:rsid w:val="00AE0B7B"/>
    <w:rsid w:val="00B2417C"/>
    <w:rsid w:val="00B271D3"/>
    <w:rsid w:val="00B50A42"/>
    <w:rsid w:val="00B626B4"/>
    <w:rsid w:val="00B81FEA"/>
    <w:rsid w:val="00BC3FC6"/>
    <w:rsid w:val="00BD1498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81A44"/>
    <w:rsid w:val="00DD41C8"/>
    <w:rsid w:val="00DD6D0D"/>
    <w:rsid w:val="00DE51F2"/>
    <w:rsid w:val="00DF26F1"/>
    <w:rsid w:val="00DF283D"/>
    <w:rsid w:val="00E80A6A"/>
    <w:rsid w:val="00E83FED"/>
    <w:rsid w:val="00EC3852"/>
    <w:rsid w:val="00EC5146"/>
    <w:rsid w:val="00EE4549"/>
    <w:rsid w:val="00F33278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316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@lajeadodobugre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3859</Words>
  <Characters>20841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11</cp:revision>
  <dcterms:created xsi:type="dcterms:W3CDTF">2024-07-16T11:19:00Z</dcterms:created>
  <dcterms:modified xsi:type="dcterms:W3CDTF">2026-04-15T16:44:00Z</dcterms:modified>
</cp:coreProperties>
</file>